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473C" w:rsidRPr="0026172B" w:rsidRDefault="007C473C" w:rsidP="005B5A6D">
      <w:pPr>
        <w:jc w:val="both"/>
        <w:rPr>
          <w:lang w:val="uk-UA"/>
        </w:rPr>
      </w:pPr>
      <w:r w:rsidRPr="0026172B">
        <w:rPr>
          <w:lang w:val="uk-UA"/>
        </w:rPr>
        <w:t xml:space="preserve">Приватне підприємство </w:t>
      </w:r>
      <w:r w:rsidR="0041163B" w:rsidRPr="00842864">
        <w:rPr>
          <w:sz w:val="22"/>
          <w:szCs w:val="22"/>
          <w:lang w:val="uk-UA"/>
        </w:rPr>
        <w:t>"</w:t>
      </w:r>
      <w:r w:rsidRPr="0026172B">
        <w:rPr>
          <w:lang w:val="uk-UA"/>
        </w:rPr>
        <w:t xml:space="preserve">Аудиторська фірма </w:t>
      </w:r>
      <w:r w:rsidR="0041163B" w:rsidRPr="00842864">
        <w:rPr>
          <w:sz w:val="22"/>
          <w:szCs w:val="22"/>
          <w:lang w:val="uk-UA"/>
        </w:rPr>
        <w:t>"</w:t>
      </w:r>
      <w:r w:rsidRPr="0026172B">
        <w:rPr>
          <w:lang w:val="uk-UA"/>
        </w:rPr>
        <w:t>АМК-Сервіс</w:t>
      </w:r>
      <w:r w:rsidR="0041163B" w:rsidRPr="00842864">
        <w:rPr>
          <w:sz w:val="22"/>
          <w:szCs w:val="22"/>
          <w:lang w:val="uk-UA"/>
        </w:rPr>
        <w:t>"</w:t>
      </w:r>
      <w:r w:rsidRPr="0026172B">
        <w:rPr>
          <w:lang w:val="uk-UA"/>
        </w:rPr>
        <w:t xml:space="preserve">, ідентифікаційний код за ЄДРПОУ </w:t>
      </w:r>
      <w:smartTag w:uri="urn:schemas-microsoft-com:office:smarttags" w:element="metricconverter">
        <w:smartTagPr>
          <w:attr w:name="ProductID" w:val="24231715, м"/>
        </w:smartTagPr>
        <w:r w:rsidRPr="0026172B">
          <w:rPr>
            <w:lang w:val="uk-UA"/>
          </w:rPr>
          <w:t>24231715, м</w:t>
        </w:r>
      </w:smartTag>
      <w:r w:rsidRPr="0026172B">
        <w:rPr>
          <w:lang w:val="uk-UA"/>
        </w:rPr>
        <w:t xml:space="preserve">. Дніпро, вул. </w:t>
      </w:r>
      <w:r w:rsidR="00B03D00">
        <w:rPr>
          <w:lang w:val="uk-UA"/>
        </w:rPr>
        <w:t>Грушевського</w:t>
      </w:r>
      <w:r w:rsidRPr="0026172B">
        <w:rPr>
          <w:lang w:val="uk-UA"/>
        </w:rPr>
        <w:t xml:space="preserve">, 9, к 3, зареєстроване 25.03.1996р. Виконавчим комітетом Дніпропетровської міської Ради, внесене до </w:t>
      </w:r>
      <w:r w:rsidR="00A94BA6" w:rsidRPr="00A94BA6">
        <w:rPr>
          <w:lang w:val="uk-UA"/>
        </w:rPr>
        <w:t xml:space="preserve">Реєстру аудиторських фірм та аудиторів  </w:t>
      </w:r>
      <w:r w:rsidRPr="0026172B">
        <w:rPr>
          <w:lang w:val="uk-UA"/>
        </w:rPr>
        <w:t xml:space="preserve">за номером 1532 рішенням Аудиторської палати України від 26.01.2001р. №98, термін дії свідоцтва – до </w:t>
      </w:r>
      <w:r w:rsidR="00B976B7" w:rsidRPr="00344BD3">
        <w:rPr>
          <w:lang w:val="uk-UA"/>
        </w:rPr>
        <w:t>29.10.2020р</w:t>
      </w:r>
      <w:r w:rsidRPr="0026172B">
        <w:rPr>
          <w:lang w:val="uk-UA"/>
        </w:rPr>
        <w:t>.</w:t>
      </w:r>
      <w:r w:rsidR="00605382" w:rsidRPr="0026172B">
        <w:rPr>
          <w:lang w:val="uk-UA"/>
        </w:rPr>
        <w:t>,</w:t>
      </w:r>
      <w:r w:rsidR="005E1951" w:rsidRPr="0026172B">
        <w:rPr>
          <w:lang w:val="uk-UA"/>
        </w:rPr>
        <w:t xml:space="preserve"> Свідоцтво про відповідність системи контролю якості № 0</w:t>
      </w:r>
      <w:r w:rsidR="00B03D00">
        <w:rPr>
          <w:lang w:val="uk-UA"/>
        </w:rPr>
        <w:t>621</w:t>
      </w:r>
      <w:r w:rsidR="005E1951" w:rsidRPr="0026172B">
        <w:rPr>
          <w:lang w:val="uk-UA"/>
        </w:rPr>
        <w:t>, відповідно до рішення АПУ від 29.09.201</w:t>
      </w:r>
      <w:r w:rsidR="00B03D00">
        <w:rPr>
          <w:lang w:val="uk-UA"/>
        </w:rPr>
        <w:t>6</w:t>
      </w:r>
      <w:r w:rsidR="005E1951" w:rsidRPr="0026172B">
        <w:rPr>
          <w:lang w:val="uk-UA"/>
        </w:rPr>
        <w:t xml:space="preserve"> р. № </w:t>
      </w:r>
      <w:r w:rsidR="00B03D00">
        <w:rPr>
          <w:lang w:val="uk-UA"/>
        </w:rPr>
        <w:t>330</w:t>
      </w:r>
      <w:r w:rsidR="005E1951" w:rsidRPr="0026172B">
        <w:rPr>
          <w:lang w:val="uk-UA"/>
        </w:rPr>
        <w:t>/4</w:t>
      </w:r>
      <w:r w:rsidR="00B03D00">
        <w:rPr>
          <w:lang w:val="uk-UA"/>
        </w:rPr>
        <w:t xml:space="preserve"> чинне до </w:t>
      </w:r>
      <w:r w:rsidR="00B03D00" w:rsidRPr="00533A17">
        <w:rPr>
          <w:lang w:val="uk-UA"/>
        </w:rPr>
        <w:t>31.12.2021р.</w:t>
      </w:r>
      <w:r w:rsidR="005B5A6D" w:rsidRPr="00533A17">
        <w:rPr>
          <w:lang w:val="uk-UA"/>
        </w:rPr>
        <w:t>,</w:t>
      </w:r>
      <w:r w:rsidR="005B5A6D" w:rsidRPr="00533A17">
        <w:rPr>
          <w:sz w:val="22"/>
          <w:szCs w:val="22"/>
          <w:lang w:val="uk-UA"/>
        </w:rPr>
        <w:t xml:space="preserve"> </w:t>
      </w:r>
      <w:r w:rsidR="00517E31" w:rsidRPr="00533A17">
        <w:rPr>
          <w:szCs w:val="22"/>
          <w:lang w:val="uk-UA"/>
        </w:rPr>
        <w:t xml:space="preserve">Свідоцтво про включення до реєстру аудиторських фірм та аудиторів, які можуть проводити аудиторські перевірки фінансових установ №0025 від 02.07.2013р., строк дії свідоцтва – до </w:t>
      </w:r>
      <w:r w:rsidR="00B976B7" w:rsidRPr="00533A17">
        <w:rPr>
          <w:szCs w:val="22"/>
          <w:lang w:val="uk-UA"/>
        </w:rPr>
        <w:t>29</w:t>
      </w:r>
      <w:r w:rsidR="00517E31" w:rsidRPr="00533A17">
        <w:rPr>
          <w:szCs w:val="22"/>
          <w:lang w:val="uk-UA"/>
        </w:rPr>
        <w:t>.1</w:t>
      </w:r>
      <w:r w:rsidR="00B976B7" w:rsidRPr="00533A17">
        <w:rPr>
          <w:szCs w:val="22"/>
          <w:lang w:val="uk-UA"/>
        </w:rPr>
        <w:t>0</w:t>
      </w:r>
      <w:r w:rsidR="00517E31" w:rsidRPr="00533A17">
        <w:rPr>
          <w:szCs w:val="22"/>
          <w:lang w:val="uk-UA"/>
        </w:rPr>
        <w:t>.</w:t>
      </w:r>
      <w:r w:rsidR="00B976B7" w:rsidRPr="00533A17">
        <w:rPr>
          <w:lang w:val="uk-UA"/>
        </w:rPr>
        <w:t>2020</w:t>
      </w:r>
      <w:r w:rsidR="00517E31" w:rsidRPr="00533A17">
        <w:rPr>
          <w:lang w:val="uk-UA"/>
        </w:rPr>
        <w:t>р.,</w:t>
      </w:r>
      <w:r w:rsidR="00D378E9" w:rsidRPr="00B976B7">
        <w:rPr>
          <w:lang w:val="uk-UA"/>
        </w:rPr>
        <w:t xml:space="preserve"> </w:t>
      </w:r>
      <w:proofErr w:type="spellStart"/>
      <w:r w:rsidR="005C31C4">
        <w:rPr>
          <w:lang w:val="uk-UA"/>
        </w:rPr>
        <w:t>тел</w:t>
      </w:r>
      <w:proofErr w:type="spellEnd"/>
      <w:r w:rsidR="005C31C4">
        <w:rPr>
          <w:lang w:val="uk-UA"/>
        </w:rPr>
        <w:t xml:space="preserve">./факс (056) </w:t>
      </w:r>
      <w:r w:rsidR="006355C4">
        <w:rPr>
          <w:lang w:val="uk-UA"/>
        </w:rPr>
        <w:t>785</w:t>
      </w:r>
      <w:r w:rsidR="006355C4" w:rsidRPr="00B976B7">
        <w:rPr>
          <w:lang w:val="uk-UA"/>
        </w:rPr>
        <w:t>-</w:t>
      </w:r>
      <w:r w:rsidR="006355C4">
        <w:rPr>
          <w:lang w:val="uk-UA"/>
        </w:rPr>
        <w:t>95</w:t>
      </w:r>
      <w:r w:rsidR="006355C4" w:rsidRPr="0026172B">
        <w:rPr>
          <w:lang w:val="uk-UA"/>
        </w:rPr>
        <w:t>-</w:t>
      </w:r>
      <w:r w:rsidR="006355C4">
        <w:rPr>
          <w:lang w:val="uk-UA"/>
        </w:rPr>
        <w:t>13</w:t>
      </w:r>
      <w:r w:rsidR="00666604" w:rsidRPr="0026172B">
        <w:rPr>
          <w:sz w:val="22"/>
          <w:szCs w:val="22"/>
          <w:lang w:val="uk-UA"/>
        </w:rPr>
        <w:t>.</w:t>
      </w:r>
    </w:p>
    <w:p w:rsidR="00D73C8E" w:rsidRPr="0026172B" w:rsidRDefault="00D73C8E" w:rsidP="00C018E8">
      <w:pPr>
        <w:jc w:val="both"/>
        <w:rPr>
          <w:sz w:val="22"/>
          <w:szCs w:val="22"/>
          <w:lang w:val="uk-UA"/>
        </w:rPr>
      </w:pPr>
    </w:p>
    <w:p w:rsidR="006365E6" w:rsidRDefault="006365E6" w:rsidP="003C1B40">
      <w:pPr>
        <w:jc w:val="center"/>
        <w:rPr>
          <w:b/>
          <w:sz w:val="28"/>
          <w:szCs w:val="28"/>
          <w:lang w:val="uk-UA"/>
        </w:rPr>
      </w:pPr>
      <w:r w:rsidRPr="006365E6">
        <w:rPr>
          <w:b/>
          <w:sz w:val="28"/>
          <w:szCs w:val="28"/>
          <w:lang w:val="uk-UA"/>
        </w:rPr>
        <w:t xml:space="preserve">ЗВІТ НЕЗАЛЕЖНОГО АУДИТОРА </w:t>
      </w:r>
      <w:r w:rsidR="003C1B40" w:rsidRPr="0026172B">
        <w:rPr>
          <w:b/>
          <w:sz w:val="28"/>
          <w:szCs w:val="28"/>
          <w:lang w:val="uk-UA"/>
        </w:rPr>
        <w:t xml:space="preserve"> </w:t>
      </w:r>
    </w:p>
    <w:p w:rsidR="003C1B40" w:rsidRPr="0026172B" w:rsidRDefault="00C93F60" w:rsidP="003C1B40">
      <w:pPr>
        <w:jc w:val="center"/>
        <w:rPr>
          <w:b/>
          <w:sz w:val="28"/>
          <w:szCs w:val="28"/>
          <w:lang w:val="uk-UA"/>
        </w:rPr>
      </w:pPr>
      <w:r w:rsidRPr="00C93F60">
        <w:rPr>
          <w:b/>
          <w:sz w:val="28"/>
          <w:szCs w:val="28"/>
          <w:lang w:val="uk-UA"/>
        </w:rPr>
        <w:t>щодо фінансової звітності</w:t>
      </w:r>
      <w:r w:rsidR="003C1B40" w:rsidRPr="0026172B">
        <w:rPr>
          <w:b/>
          <w:sz w:val="28"/>
          <w:szCs w:val="28"/>
          <w:lang w:val="uk-UA"/>
        </w:rPr>
        <w:t xml:space="preserve"> </w:t>
      </w:r>
    </w:p>
    <w:p w:rsidR="00387601" w:rsidRDefault="00387601" w:rsidP="000B18E5">
      <w:pPr>
        <w:jc w:val="center"/>
        <w:rPr>
          <w:b/>
          <w:sz w:val="28"/>
          <w:szCs w:val="28"/>
          <w:lang w:val="uk-UA"/>
        </w:rPr>
      </w:pPr>
      <w:r w:rsidRPr="00387601">
        <w:rPr>
          <w:b/>
          <w:sz w:val="28"/>
          <w:szCs w:val="28"/>
          <w:lang w:val="uk-UA"/>
        </w:rPr>
        <w:t>ПРИВАТН</w:t>
      </w:r>
      <w:r>
        <w:rPr>
          <w:b/>
          <w:sz w:val="28"/>
          <w:szCs w:val="28"/>
          <w:lang w:val="uk-UA"/>
        </w:rPr>
        <w:t>ОГО</w:t>
      </w:r>
      <w:r w:rsidRPr="00387601">
        <w:rPr>
          <w:b/>
          <w:sz w:val="28"/>
          <w:szCs w:val="28"/>
          <w:lang w:val="uk-UA"/>
        </w:rPr>
        <w:t xml:space="preserve"> АКЦІОНЕРН</w:t>
      </w:r>
      <w:r>
        <w:rPr>
          <w:b/>
          <w:sz w:val="28"/>
          <w:szCs w:val="28"/>
          <w:lang w:val="uk-UA"/>
        </w:rPr>
        <w:t>ОГО</w:t>
      </w:r>
      <w:r w:rsidRPr="00387601">
        <w:rPr>
          <w:b/>
          <w:sz w:val="28"/>
          <w:szCs w:val="28"/>
          <w:lang w:val="uk-UA"/>
        </w:rPr>
        <w:t xml:space="preserve"> ТОВАРИСТВ</w:t>
      </w:r>
      <w:r>
        <w:rPr>
          <w:b/>
          <w:sz w:val="28"/>
          <w:szCs w:val="28"/>
          <w:lang w:val="uk-UA"/>
        </w:rPr>
        <w:t>А</w:t>
      </w:r>
      <w:r w:rsidRPr="00387601">
        <w:rPr>
          <w:b/>
          <w:sz w:val="28"/>
          <w:szCs w:val="28"/>
          <w:lang w:val="uk-UA"/>
        </w:rPr>
        <w:t xml:space="preserve"> </w:t>
      </w:r>
    </w:p>
    <w:p w:rsidR="0002027B" w:rsidRDefault="00387601" w:rsidP="000B18E5">
      <w:pPr>
        <w:jc w:val="center"/>
        <w:rPr>
          <w:b/>
          <w:sz w:val="28"/>
          <w:szCs w:val="28"/>
          <w:lang w:val="uk-UA"/>
        </w:rPr>
      </w:pPr>
      <w:r w:rsidRPr="00387601">
        <w:rPr>
          <w:b/>
          <w:sz w:val="28"/>
          <w:szCs w:val="28"/>
          <w:lang w:val="uk-UA"/>
        </w:rPr>
        <w:t>"СТРАХОВА КОМПАНІЯ "АРСЕНАЛ"</w:t>
      </w:r>
      <w:r w:rsidR="006D57C9" w:rsidRPr="0026172B">
        <w:rPr>
          <w:b/>
          <w:sz w:val="28"/>
          <w:szCs w:val="28"/>
          <w:lang w:val="uk-UA"/>
        </w:rPr>
        <w:t xml:space="preserve"> </w:t>
      </w:r>
    </w:p>
    <w:p w:rsidR="003C1B40" w:rsidRDefault="00C018E8" w:rsidP="0002027B">
      <w:pPr>
        <w:jc w:val="center"/>
        <w:rPr>
          <w:b/>
          <w:sz w:val="28"/>
          <w:szCs w:val="28"/>
          <w:lang w:val="uk-UA"/>
        </w:rPr>
      </w:pPr>
      <w:r w:rsidRPr="0026172B">
        <w:rPr>
          <w:b/>
          <w:sz w:val="28"/>
          <w:szCs w:val="28"/>
          <w:lang w:val="uk-UA"/>
        </w:rPr>
        <w:t xml:space="preserve">станом на </w:t>
      </w:r>
      <w:r w:rsidR="00725E8B">
        <w:rPr>
          <w:b/>
          <w:sz w:val="28"/>
          <w:szCs w:val="28"/>
          <w:lang w:val="uk-UA"/>
        </w:rPr>
        <w:t>31 грудня</w:t>
      </w:r>
      <w:r w:rsidR="00C93F60" w:rsidRPr="00C93F60">
        <w:rPr>
          <w:b/>
          <w:sz w:val="28"/>
          <w:szCs w:val="28"/>
          <w:lang w:val="uk-UA"/>
        </w:rPr>
        <w:t xml:space="preserve"> </w:t>
      </w:r>
      <w:r w:rsidRPr="0026172B">
        <w:rPr>
          <w:b/>
          <w:sz w:val="28"/>
          <w:szCs w:val="28"/>
          <w:lang w:val="uk-UA"/>
        </w:rPr>
        <w:t>20</w:t>
      </w:r>
      <w:r w:rsidR="00A0593A" w:rsidRPr="0026172B">
        <w:rPr>
          <w:b/>
          <w:sz w:val="28"/>
          <w:szCs w:val="28"/>
          <w:lang w:val="uk-UA"/>
        </w:rPr>
        <w:t>1</w:t>
      </w:r>
      <w:r w:rsidR="007156D5">
        <w:rPr>
          <w:b/>
          <w:sz w:val="28"/>
          <w:szCs w:val="28"/>
          <w:lang w:val="uk-UA"/>
        </w:rPr>
        <w:t>7</w:t>
      </w:r>
      <w:r w:rsidR="006F1FB9" w:rsidRPr="0026172B">
        <w:rPr>
          <w:b/>
          <w:sz w:val="28"/>
          <w:szCs w:val="28"/>
          <w:lang w:val="uk-UA"/>
        </w:rPr>
        <w:t xml:space="preserve"> </w:t>
      </w:r>
      <w:r w:rsidR="003C1B40" w:rsidRPr="0026172B">
        <w:rPr>
          <w:b/>
          <w:sz w:val="28"/>
          <w:szCs w:val="28"/>
          <w:lang w:val="uk-UA"/>
        </w:rPr>
        <w:t>року</w:t>
      </w:r>
    </w:p>
    <w:p w:rsidR="00FA3470" w:rsidRPr="008B2E0F" w:rsidRDefault="00FA3470" w:rsidP="003C1B40">
      <w:pPr>
        <w:jc w:val="center"/>
        <w:rPr>
          <w:b/>
          <w:sz w:val="22"/>
          <w:szCs w:val="22"/>
          <w:lang w:val="uk-UA"/>
        </w:rPr>
      </w:pPr>
    </w:p>
    <w:p w:rsidR="006365E6" w:rsidRPr="00EF7F60" w:rsidRDefault="001E55CC" w:rsidP="006365E6">
      <w:pPr>
        <w:rPr>
          <w:sz w:val="22"/>
          <w:szCs w:val="22"/>
          <w:lang w:val="uk-UA"/>
        </w:rPr>
      </w:pPr>
      <w:r>
        <w:rPr>
          <w:sz w:val="22"/>
          <w:szCs w:val="22"/>
          <w:lang w:val="uk-UA"/>
        </w:rPr>
        <w:t>Акціонерам і Правлінню</w:t>
      </w:r>
    </w:p>
    <w:p w:rsidR="001E55CC" w:rsidRDefault="001E55CC" w:rsidP="00E84ACB">
      <w:pPr>
        <w:jc w:val="both"/>
        <w:rPr>
          <w:sz w:val="22"/>
          <w:szCs w:val="22"/>
          <w:lang w:val="uk-UA"/>
        </w:rPr>
      </w:pPr>
      <w:r w:rsidRPr="001E55CC">
        <w:rPr>
          <w:sz w:val="22"/>
          <w:szCs w:val="22"/>
          <w:lang w:val="uk-UA"/>
        </w:rPr>
        <w:t xml:space="preserve">ПРИВАТНОГО АКЦІОНЕРНОГО ТОВАРИСТВА </w:t>
      </w:r>
    </w:p>
    <w:p w:rsidR="00387601" w:rsidRDefault="00387601" w:rsidP="00E84ACB">
      <w:pPr>
        <w:jc w:val="both"/>
        <w:rPr>
          <w:sz w:val="22"/>
          <w:szCs w:val="22"/>
          <w:lang w:val="uk-UA"/>
        </w:rPr>
      </w:pPr>
      <w:r w:rsidRPr="00387601">
        <w:rPr>
          <w:sz w:val="22"/>
          <w:szCs w:val="22"/>
          <w:lang w:val="uk-UA"/>
        </w:rPr>
        <w:t>"СТРАХОВА КОМПАНІЯ "АРСЕНАЛ"</w:t>
      </w:r>
    </w:p>
    <w:p w:rsidR="00E84ACB" w:rsidRPr="00E6618F" w:rsidRDefault="00E84ACB" w:rsidP="00E84ACB">
      <w:pPr>
        <w:jc w:val="both"/>
        <w:rPr>
          <w:sz w:val="22"/>
          <w:szCs w:val="22"/>
          <w:lang w:val="uk-UA"/>
        </w:rPr>
      </w:pPr>
      <w:r w:rsidRPr="00E6618F">
        <w:rPr>
          <w:sz w:val="22"/>
          <w:szCs w:val="22"/>
          <w:lang w:val="uk-UA"/>
        </w:rPr>
        <w:t xml:space="preserve">Національній комісії, що здійснює державне регулювання </w:t>
      </w:r>
    </w:p>
    <w:p w:rsidR="00E84ACB" w:rsidRPr="00E6618F" w:rsidRDefault="00E84ACB" w:rsidP="00E84ACB">
      <w:pPr>
        <w:jc w:val="both"/>
        <w:rPr>
          <w:sz w:val="22"/>
          <w:szCs w:val="22"/>
          <w:lang w:val="uk-UA"/>
        </w:rPr>
      </w:pPr>
      <w:r w:rsidRPr="00E6618F">
        <w:rPr>
          <w:sz w:val="22"/>
          <w:szCs w:val="22"/>
          <w:lang w:val="uk-UA"/>
        </w:rPr>
        <w:t>у сфері ринків фінансових послуг</w:t>
      </w:r>
    </w:p>
    <w:p w:rsidR="00E84ACB" w:rsidRPr="001E55CC" w:rsidRDefault="00E84ACB" w:rsidP="000B18E5">
      <w:pPr>
        <w:jc w:val="both"/>
        <w:rPr>
          <w:color w:val="FF0000"/>
          <w:sz w:val="22"/>
          <w:szCs w:val="22"/>
          <w:lang w:val="uk-UA"/>
        </w:rPr>
      </w:pPr>
    </w:p>
    <w:p w:rsidR="006365E6" w:rsidRDefault="006365E6" w:rsidP="001E7C47">
      <w:pPr>
        <w:autoSpaceDE w:val="0"/>
        <w:autoSpaceDN w:val="0"/>
        <w:adjustRightInd w:val="0"/>
        <w:spacing w:after="120"/>
        <w:ind w:firstLine="720"/>
        <w:jc w:val="both"/>
        <w:rPr>
          <w:sz w:val="24"/>
          <w:szCs w:val="22"/>
          <w:lang w:val="uk-UA"/>
        </w:rPr>
      </w:pPr>
    </w:p>
    <w:p w:rsidR="00F176A1" w:rsidRPr="003A1122" w:rsidRDefault="00F176A1" w:rsidP="00F176A1">
      <w:pPr>
        <w:spacing w:after="120"/>
        <w:contextualSpacing/>
        <w:jc w:val="center"/>
        <w:rPr>
          <w:b/>
          <w:i/>
          <w:iCs/>
          <w:sz w:val="24"/>
          <w:szCs w:val="24"/>
          <w:lang w:val="uk-UA"/>
        </w:rPr>
      </w:pPr>
      <w:r>
        <w:rPr>
          <w:b/>
          <w:i/>
          <w:iCs/>
          <w:sz w:val="24"/>
          <w:szCs w:val="24"/>
          <w:lang w:val="uk-UA"/>
        </w:rPr>
        <w:t>Думка</w:t>
      </w:r>
      <w:r w:rsidR="00B36F45">
        <w:rPr>
          <w:b/>
          <w:i/>
          <w:iCs/>
          <w:sz w:val="24"/>
          <w:szCs w:val="24"/>
          <w:lang w:val="uk-UA"/>
        </w:rPr>
        <w:t xml:space="preserve"> із застереженням</w:t>
      </w:r>
    </w:p>
    <w:p w:rsidR="00F176A1" w:rsidRDefault="00F176A1" w:rsidP="00387601">
      <w:pPr>
        <w:autoSpaceDE w:val="0"/>
        <w:autoSpaceDN w:val="0"/>
        <w:adjustRightInd w:val="0"/>
        <w:spacing w:after="120"/>
        <w:jc w:val="both"/>
        <w:rPr>
          <w:sz w:val="22"/>
          <w:szCs w:val="22"/>
          <w:lang w:val="uk-UA"/>
        </w:rPr>
      </w:pPr>
      <w:r w:rsidRPr="00842864">
        <w:rPr>
          <w:sz w:val="22"/>
          <w:szCs w:val="22"/>
          <w:lang w:val="uk-UA"/>
        </w:rPr>
        <w:t>Ми, Приватне підприємство Аудиторська фірма "АМК-Сервіс", провели аудиторську перевірку фінансової звітності</w:t>
      </w:r>
      <w:r>
        <w:rPr>
          <w:sz w:val="22"/>
          <w:szCs w:val="22"/>
          <w:lang w:val="uk-UA"/>
        </w:rPr>
        <w:t xml:space="preserve"> </w:t>
      </w:r>
      <w:r w:rsidR="00387601" w:rsidRPr="00387601">
        <w:rPr>
          <w:sz w:val="22"/>
          <w:szCs w:val="22"/>
          <w:lang w:val="uk-UA"/>
        </w:rPr>
        <w:t>ПРИВАТНОГО АКЦІОНЕРНОГО ТОВАРИСТВА "СТРАХОВА КОМПАНІЯ "АРСЕНАЛ"</w:t>
      </w:r>
      <w:r w:rsidRPr="00E84ACB">
        <w:rPr>
          <w:sz w:val="22"/>
          <w:szCs w:val="22"/>
          <w:lang w:val="uk-UA"/>
        </w:rPr>
        <w:t xml:space="preserve">, ідентифікаційний код </w:t>
      </w:r>
      <w:r w:rsidR="00387601" w:rsidRPr="00387601">
        <w:rPr>
          <w:sz w:val="22"/>
          <w:szCs w:val="22"/>
          <w:lang w:val="uk-UA"/>
        </w:rPr>
        <w:t>33946038</w:t>
      </w:r>
      <w:r w:rsidR="00E84ACB" w:rsidRPr="00E84ACB">
        <w:rPr>
          <w:sz w:val="22"/>
          <w:szCs w:val="22"/>
          <w:lang w:val="uk-UA"/>
        </w:rPr>
        <w:t xml:space="preserve">, </w:t>
      </w:r>
      <w:r w:rsidR="00E84ACB" w:rsidRPr="00E84ACB">
        <w:rPr>
          <w:sz w:val="22"/>
          <w:szCs w:val="24"/>
          <w:lang w:val="uk-UA"/>
        </w:rPr>
        <w:t xml:space="preserve">місцезнаходження: </w:t>
      </w:r>
      <w:r w:rsidR="00387601" w:rsidRPr="00387601">
        <w:rPr>
          <w:sz w:val="22"/>
          <w:szCs w:val="24"/>
          <w:lang w:val="uk-UA"/>
        </w:rPr>
        <w:t xml:space="preserve">65009, Одеська обл., місто Одеса, вулиця </w:t>
      </w:r>
      <w:proofErr w:type="spellStart"/>
      <w:r w:rsidR="00387601" w:rsidRPr="00387601">
        <w:rPr>
          <w:sz w:val="22"/>
          <w:szCs w:val="24"/>
          <w:lang w:val="uk-UA"/>
        </w:rPr>
        <w:t>Фонтанська</w:t>
      </w:r>
      <w:proofErr w:type="spellEnd"/>
      <w:r w:rsidR="00387601" w:rsidRPr="00387601">
        <w:rPr>
          <w:sz w:val="22"/>
          <w:szCs w:val="24"/>
          <w:lang w:val="uk-UA"/>
        </w:rPr>
        <w:t xml:space="preserve"> дорога, будинок 25 </w:t>
      </w:r>
      <w:r w:rsidRPr="00E84ACB">
        <w:rPr>
          <w:sz w:val="22"/>
          <w:szCs w:val="22"/>
          <w:lang w:val="uk-UA"/>
        </w:rPr>
        <w:t>(далі – Товариство)</w:t>
      </w:r>
      <w:r w:rsidR="000B18E5" w:rsidRPr="00E84ACB">
        <w:rPr>
          <w:sz w:val="22"/>
          <w:szCs w:val="22"/>
          <w:lang w:val="uk-UA"/>
        </w:rPr>
        <w:t>,</w:t>
      </w:r>
      <w:r w:rsidR="000B18E5">
        <w:rPr>
          <w:sz w:val="22"/>
          <w:szCs w:val="22"/>
          <w:lang w:val="uk-UA"/>
        </w:rPr>
        <w:t xml:space="preserve"> </w:t>
      </w:r>
      <w:r w:rsidR="000B18E5" w:rsidRPr="000B18E5">
        <w:rPr>
          <w:sz w:val="22"/>
          <w:szCs w:val="22"/>
          <w:lang w:val="uk-UA"/>
        </w:rPr>
        <w:t>що складається зі звіту про фінансовий стан на 31 грудня 201</w:t>
      </w:r>
      <w:r w:rsidR="000B18E5">
        <w:rPr>
          <w:sz w:val="22"/>
          <w:szCs w:val="22"/>
          <w:lang w:val="uk-UA"/>
        </w:rPr>
        <w:t>7</w:t>
      </w:r>
      <w:r w:rsidR="000B18E5" w:rsidRPr="000B18E5">
        <w:rPr>
          <w:sz w:val="22"/>
          <w:szCs w:val="22"/>
          <w:lang w:val="uk-UA"/>
        </w:rPr>
        <w:t xml:space="preserve"> р., звіту про сукупний дохід, звіту про зміни у власному капіталі та звіту про рух грошових коштів за рік, що закінчився зазначеною датою, і приміток до фінансової звітності, включаючи стислий виклад значущих облікових політик</w:t>
      </w:r>
      <w:r w:rsidR="000B18E5">
        <w:rPr>
          <w:sz w:val="22"/>
          <w:szCs w:val="22"/>
          <w:lang w:val="uk-UA"/>
        </w:rPr>
        <w:t xml:space="preserve"> </w:t>
      </w:r>
      <w:r w:rsidR="000B18E5" w:rsidRPr="00842864">
        <w:rPr>
          <w:sz w:val="22"/>
          <w:szCs w:val="22"/>
          <w:lang w:val="uk-UA"/>
        </w:rPr>
        <w:t>(далі – фінансова звітність)</w:t>
      </w:r>
    </w:p>
    <w:p w:rsidR="00A95787" w:rsidRPr="00E84ACB" w:rsidRDefault="00A95787" w:rsidP="00A95787">
      <w:pPr>
        <w:autoSpaceDE w:val="0"/>
        <w:autoSpaceDN w:val="0"/>
        <w:adjustRightInd w:val="0"/>
        <w:spacing w:after="120"/>
        <w:jc w:val="both"/>
        <w:rPr>
          <w:sz w:val="22"/>
          <w:szCs w:val="24"/>
          <w:lang w:val="uk-UA"/>
        </w:rPr>
      </w:pPr>
      <w:r w:rsidRPr="00CA5B47">
        <w:rPr>
          <w:color w:val="000000"/>
          <w:sz w:val="22"/>
          <w:szCs w:val="24"/>
          <w:lang w:val="uk-UA"/>
        </w:rPr>
        <w:t>На нашу думку</w:t>
      </w:r>
      <w:r w:rsidR="00B36F45" w:rsidRPr="00CA5B47">
        <w:rPr>
          <w:color w:val="000000"/>
          <w:sz w:val="22"/>
          <w:szCs w:val="24"/>
          <w:lang w:val="uk-UA"/>
        </w:rPr>
        <w:t xml:space="preserve">, за винятком впливу питання, описаного в розділі </w:t>
      </w:r>
      <w:r w:rsidR="00B36F45" w:rsidRPr="00CA5B47">
        <w:rPr>
          <w:color w:val="000000"/>
          <w:sz w:val="22"/>
          <w:szCs w:val="22"/>
          <w:lang w:val="uk-UA"/>
        </w:rPr>
        <w:t>"</w:t>
      </w:r>
      <w:r w:rsidR="00B36F45" w:rsidRPr="00CA5B47">
        <w:rPr>
          <w:color w:val="000000"/>
          <w:sz w:val="22"/>
          <w:szCs w:val="24"/>
          <w:lang w:val="uk-UA"/>
        </w:rPr>
        <w:t>Основа для думки із застереженням</w:t>
      </w:r>
      <w:r w:rsidR="00B36F45" w:rsidRPr="00CA5B47">
        <w:rPr>
          <w:color w:val="000000"/>
          <w:sz w:val="22"/>
          <w:szCs w:val="22"/>
          <w:lang w:val="uk-UA"/>
        </w:rPr>
        <w:t>"</w:t>
      </w:r>
      <w:r w:rsidR="00B36F45" w:rsidRPr="00CA5B47">
        <w:rPr>
          <w:color w:val="000000"/>
          <w:sz w:val="22"/>
          <w:szCs w:val="24"/>
          <w:lang w:val="uk-UA"/>
        </w:rPr>
        <w:t xml:space="preserve"> нашого звіту,</w:t>
      </w:r>
      <w:r w:rsidRPr="00CA5B47">
        <w:rPr>
          <w:color w:val="000000"/>
          <w:sz w:val="22"/>
          <w:szCs w:val="24"/>
          <w:lang w:val="uk-UA"/>
        </w:rPr>
        <w:t xml:space="preserve"> фінансова </w:t>
      </w:r>
      <w:r w:rsidRPr="00E84ACB">
        <w:rPr>
          <w:sz w:val="22"/>
          <w:szCs w:val="24"/>
          <w:lang w:val="uk-UA"/>
        </w:rPr>
        <w:t xml:space="preserve">звітність, </w:t>
      </w:r>
      <w:r w:rsidRPr="00E84ACB">
        <w:rPr>
          <w:sz w:val="22"/>
          <w:szCs w:val="22"/>
          <w:lang w:val="uk-UA"/>
        </w:rPr>
        <w:t xml:space="preserve">що додається, </w:t>
      </w:r>
      <w:r w:rsidRPr="00E84ACB">
        <w:rPr>
          <w:sz w:val="22"/>
          <w:szCs w:val="24"/>
          <w:lang w:val="uk-UA"/>
        </w:rPr>
        <w:t xml:space="preserve">відображає достовірно в усіх суттєвих аспектах, фінансовий стан </w:t>
      </w:r>
      <w:r w:rsidR="00E84ACB" w:rsidRPr="00E84ACB">
        <w:rPr>
          <w:sz w:val="22"/>
          <w:szCs w:val="24"/>
          <w:lang w:val="uk-UA"/>
        </w:rPr>
        <w:t>Товариства</w:t>
      </w:r>
      <w:r w:rsidRPr="00E84ACB">
        <w:rPr>
          <w:sz w:val="22"/>
          <w:szCs w:val="24"/>
          <w:lang w:val="uk-UA"/>
        </w:rPr>
        <w:t xml:space="preserve"> на </w:t>
      </w:r>
      <w:r w:rsidRPr="00E84ACB">
        <w:rPr>
          <w:sz w:val="22"/>
          <w:szCs w:val="22"/>
          <w:lang w:val="uk-UA"/>
        </w:rPr>
        <w:t xml:space="preserve">31 грудня 2017 </w:t>
      </w:r>
      <w:r w:rsidRPr="00E84ACB">
        <w:rPr>
          <w:sz w:val="22"/>
          <w:szCs w:val="24"/>
          <w:lang w:val="uk-UA"/>
        </w:rPr>
        <w:t xml:space="preserve">р., його фінансові результати і грошові потоки за рік, що закінчився зазначеною датою відповідно до Міжнародних стандартів фінансової звітності. </w:t>
      </w:r>
    </w:p>
    <w:p w:rsidR="00F176A1" w:rsidRPr="00F176A1" w:rsidRDefault="00F176A1" w:rsidP="00F176A1">
      <w:pPr>
        <w:widowControl w:val="0"/>
        <w:autoSpaceDE w:val="0"/>
        <w:autoSpaceDN w:val="0"/>
        <w:adjustRightInd w:val="0"/>
        <w:spacing w:line="306" w:lineRule="exact"/>
        <w:ind w:left="413"/>
        <w:jc w:val="center"/>
        <w:rPr>
          <w:i/>
          <w:color w:val="000000"/>
          <w:sz w:val="24"/>
          <w:szCs w:val="24"/>
          <w:lang w:val="uk-UA"/>
        </w:rPr>
      </w:pPr>
      <w:r w:rsidRPr="00F176A1">
        <w:rPr>
          <w:b/>
          <w:bCs/>
          <w:i/>
          <w:color w:val="000000"/>
          <w:sz w:val="24"/>
          <w:szCs w:val="24"/>
          <w:lang w:val="uk-UA"/>
        </w:rPr>
        <w:t>Основа для думки</w:t>
      </w:r>
      <w:r w:rsidR="00B36F45">
        <w:rPr>
          <w:b/>
          <w:bCs/>
          <w:i/>
          <w:color w:val="000000"/>
          <w:sz w:val="24"/>
          <w:szCs w:val="24"/>
          <w:lang w:val="uk-UA"/>
        </w:rPr>
        <w:t xml:space="preserve"> із застереженням</w:t>
      </w:r>
    </w:p>
    <w:p w:rsidR="00867ACD" w:rsidRPr="00431116" w:rsidRDefault="00C96E5C" w:rsidP="00273183">
      <w:pPr>
        <w:widowControl w:val="0"/>
        <w:autoSpaceDE w:val="0"/>
        <w:autoSpaceDN w:val="0"/>
        <w:adjustRightInd w:val="0"/>
        <w:spacing w:after="120"/>
        <w:jc w:val="both"/>
        <w:rPr>
          <w:sz w:val="22"/>
          <w:szCs w:val="22"/>
          <w:lang w:val="uk-UA"/>
        </w:rPr>
      </w:pPr>
      <w:r w:rsidRPr="00431116">
        <w:rPr>
          <w:sz w:val="22"/>
          <w:szCs w:val="22"/>
          <w:lang w:val="uk-UA"/>
        </w:rPr>
        <w:t>У</w:t>
      </w:r>
      <w:r w:rsidR="009B55F5" w:rsidRPr="00431116">
        <w:rPr>
          <w:sz w:val="22"/>
          <w:szCs w:val="22"/>
          <w:lang w:val="uk-UA"/>
        </w:rPr>
        <w:t xml:space="preserve"> складі довгострокових фінансових інвестицій </w:t>
      </w:r>
      <w:r w:rsidRPr="00431116">
        <w:rPr>
          <w:sz w:val="22"/>
          <w:szCs w:val="22"/>
          <w:lang w:val="uk-UA"/>
        </w:rPr>
        <w:t xml:space="preserve">Товариством </w:t>
      </w:r>
      <w:r w:rsidR="009B55F5" w:rsidRPr="00431116">
        <w:rPr>
          <w:sz w:val="22"/>
          <w:szCs w:val="22"/>
          <w:lang w:val="uk-UA"/>
        </w:rPr>
        <w:t xml:space="preserve">відображено </w:t>
      </w:r>
      <w:r w:rsidRPr="00431116">
        <w:rPr>
          <w:sz w:val="22"/>
          <w:szCs w:val="22"/>
          <w:lang w:val="uk-UA"/>
        </w:rPr>
        <w:t>інвестиції в акції українських компаній на загальну суму 50689 тис. грн., в тому числі інвестиції в акції, обіг яких заблоковано</w:t>
      </w:r>
      <w:r w:rsidR="007C116F" w:rsidRPr="00431116">
        <w:rPr>
          <w:sz w:val="22"/>
          <w:szCs w:val="22"/>
          <w:lang w:val="uk-UA"/>
        </w:rPr>
        <w:t xml:space="preserve"> – 6124 тис. грн</w:t>
      </w:r>
      <w:r w:rsidRPr="00431116">
        <w:rPr>
          <w:sz w:val="22"/>
          <w:szCs w:val="22"/>
          <w:lang w:val="uk-UA"/>
        </w:rPr>
        <w:t xml:space="preserve">. Як зазначено у п. 4.3 приміток до фінансової звітності, Товариство оцінює </w:t>
      </w:r>
      <w:r w:rsidR="007D5FA2" w:rsidRPr="00431116">
        <w:rPr>
          <w:sz w:val="22"/>
          <w:szCs w:val="22"/>
          <w:lang w:val="uk-UA"/>
        </w:rPr>
        <w:t>фінансові інвестиції</w:t>
      </w:r>
      <w:r w:rsidRPr="00431116">
        <w:rPr>
          <w:sz w:val="22"/>
          <w:szCs w:val="22"/>
          <w:lang w:val="uk-UA"/>
        </w:rPr>
        <w:t xml:space="preserve"> за справедливою вартістю. Проте, </w:t>
      </w:r>
      <w:r w:rsidR="00084847" w:rsidRPr="00431116">
        <w:rPr>
          <w:sz w:val="22"/>
          <w:szCs w:val="22"/>
          <w:lang w:val="uk-UA"/>
        </w:rPr>
        <w:t xml:space="preserve">на основі даних </w:t>
      </w:r>
      <w:r w:rsidRPr="00431116">
        <w:rPr>
          <w:sz w:val="22"/>
          <w:szCs w:val="22"/>
          <w:lang w:val="uk-UA"/>
        </w:rPr>
        <w:t>Єдиного державного реєстру юридичних осіб, фізичних осіб-підприємців та громадських формувань</w:t>
      </w:r>
      <w:r w:rsidR="00084847" w:rsidRPr="00431116">
        <w:rPr>
          <w:sz w:val="22"/>
          <w:szCs w:val="22"/>
          <w:lang w:val="uk-UA"/>
        </w:rPr>
        <w:t xml:space="preserve"> (https://usr.minjust.gov.ua/ua/freesearch)</w:t>
      </w:r>
      <w:r w:rsidRPr="00431116">
        <w:rPr>
          <w:sz w:val="22"/>
          <w:szCs w:val="22"/>
          <w:lang w:val="uk-UA"/>
        </w:rPr>
        <w:t xml:space="preserve">, </w:t>
      </w:r>
      <w:r w:rsidR="00084847" w:rsidRPr="00431116">
        <w:rPr>
          <w:sz w:val="22"/>
          <w:szCs w:val="22"/>
          <w:lang w:val="uk-UA"/>
        </w:rPr>
        <w:t xml:space="preserve"> інформації щодо випусків цінних паперів, розміщеної на сайті Національної комісії з цінних паперів та фондового ринку (https://www.nssmc.gov.ua/issues/), інформації Державної фіскальної служби України (</w:t>
      </w:r>
      <w:hyperlink r:id="rId9" w:history="1">
        <w:r w:rsidR="00084847" w:rsidRPr="00431116">
          <w:rPr>
            <w:rStyle w:val="ad"/>
            <w:rFonts w:ascii="Times New Roman" w:hAnsi="Times New Roman"/>
            <w:color w:val="auto"/>
            <w:sz w:val="22"/>
            <w:szCs w:val="22"/>
            <w:lang w:val="uk-UA"/>
          </w:rPr>
          <w:t>http://sfs.gov.ua/</w:t>
        </w:r>
      </w:hyperlink>
      <w:r w:rsidR="00084847" w:rsidRPr="00431116">
        <w:rPr>
          <w:sz w:val="22"/>
          <w:szCs w:val="22"/>
          <w:lang w:val="uk-UA"/>
        </w:rPr>
        <w:t>), Єдиного реєстру судових рішень (http://www.reyestr.court.gov.ua/) ми дійшли висновку що Товариство втратило контроль над інвестиціями в цінні папери ВАТ "</w:t>
      </w:r>
      <w:proofErr w:type="spellStart"/>
      <w:r w:rsidR="00084847" w:rsidRPr="00431116">
        <w:rPr>
          <w:sz w:val="22"/>
          <w:szCs w:val="22"/>
          <w:lang w:val="uk-UA"/>
        </w:rPr>
        <w:t>Ремточмеханизм</w:t>
      </w:r>
      <w:proofErr w:type="spellEnd"/>
      <w:r w:rsidR="00084847" w:rsidRPr="00431116">
        <w:rPr>
          <w:sz w:val="22"/>
          <w:szCs w:val="22"/>
          <w:lang w:val="uk-UA"/>
        </w:rPr>
        <w:t>", ідентифікаційний код 33051429 та ВАТ "</w:t>
      </w:r>
      <w:proofErr w:type="spellStart"/>
      <w:r w:rsidR="00084847" w:rsidRPr="00431116">
        <w:rPr>
          <w:sz w:val="22"/>
          <w:szCs w:val="22"/>
          <w:lang w:val="uk-UA"/>
        </w:rPr>
        <w:t>Технотелекомунікації</w:t>
      </w:r>
      <w:proofErr w:type="spellEnd"/>
      <w:r w:rsidR="00084847" w:rsidRPr="00431116">
        <w:rPr>
          <w:sz w:val="22"/>
          <w:szCs w:val="22"/>
          <w:lang w:val="uk-UA"/>
        </w:rPr>
        <w:t>", ідентифікаційний код</w:t>
      </w:r>
      <w:r w:rsidR="00084847" w:rsidRPr="00431116">
        <w:rPr>
          <w:lang w:val="uk-UA"/>
        </w:rPr>
        <w:t xml:space="preserve"> </w:t>
      </w:r>
      <w:r w:rsidR="00084847" w:rsidRPr="00431116">
        <w:rPr>
          <w:sz w:val="22"/>
          <w:szCs w:val="22"/>
          <w:lang w:val="uk-UA"/>
        </w:rPr>
        <w:t>32302491, тому вони не відповідають критеріям визнання активом</w:t>
      </w:r>
      <w:r w:rsidR="00273183" w:rsidRPr="00431116">
        <w:rPr>
          <w:sz w:val="22"/>
          <w:szCs w:val="22"/>
          <w:lang w:val="uk-UA"/>
        </w:rPr>
        <w:t>.</w:t>
      </w:r>
      <w:r w:rsidR="007D5FA2" w:rsidRPr="00431116">
        <w:rPr>
          <w:sz w:val="22"/>
          <w:szCs w:val="22"/>
          <w:lang w:val="uk-UA"/>
        </w:rPr>
        <w:t xml:space="preserve"> Балансова вартість інвестицій в цінні папери цих суб’єктів складає 4728 тис. грн. </w:t>
      </w:r>
      <w:r w:rsidR="007C116F" w:rsidRPr="00431116">
        <w:rPr>
          <w:sz w:val="22"/>
          <w:szCs w:val="22"/>
          <w:lang w:val="uk-UA"/>
        </w:rPr>
        <w:t>Товариство не визнало знецінення довгострокових фінансових інвестицій.</w:t>
      </w:r>
    </w:p>
    <w:p w:rsidR="00C96E5C" w:rsidRPr="00431116" w:rsidRDefault="005F1298" w:rsidP="00273183">
      <w:pPr>
        <w:widowControl w:val="0"/>
        <w:autoSpaceDE w:val="0"/>
        <w:autoSpaceDN w:val="0"/>
        <w:adjustRightInd w:val="0"/>
        <w:spacing w:after="120"/>
        <w:jc w:val="both"/>
        <w:rPr>
          <w:sz w:val="22"/>
          <w:szCs w:val="22"/>
          <w:lang w:val="uk-UA"/>
        </w:rPr>
      </w:pPr>
      <w:r w:rsidRPr="00431116">
        <w:rPr>
          <w:sz w:val="22"/>
          <w:szCs w:val="22"/>
          <w:lang w:val="uk-UA"/>
        </w:rPr>
        <w:t>Якби Т</w:t>
      </w:r>
      <w:r w:rsidR="00867ACD" w:rsidRPr="00431116">
        <w:rPr>
          <w:sz w:val="22"/>
          <w:szCs w:val="22"/>
          <w:lang w:val="uk-UA"/>
        </w:rPr>
        <w:t>овариство</w:t>
      </w:r>
      <w:r w:rsidR="007C116F" w:rsidRPr="00431116">
        <w:rPr>
          <w:sz w:val="22"/>
          <w:szCs w:val="22"/>
          <w:lang w:val="uk-UA"/>
        </w:rPr>
        <w:t xml:space="preserve"> </w:t>
      </w:r>
      <w:r w:rsidR="00867ACD" w:rsidRPr="00431116">
        <w:rPr>
          <w:sz w:val="22"/>
          <w:szCs w:val="22"/>
          <w:lang w:val="uk-UA"/>
        </w:rPr>
        <w:t>визнало знецінення довгострокових фінансових інвестицій, то їх балансову вартість потрібно було б зменшити на 4728тис. грн., відповідно, інші витрати збільшилися б, а чистий прибуток та власний капітал зменшилися б відповідно на цю суму.</w:t>
      </w:r>
    </w:p>
    <w:p w:rsidR="009F5821" w:rsidRPr="00431116" w:rsidRDefault="00907E7D" w:rsidP="009F5821">
      <w:pPr>
        <w:widowControl w:val="0"/>
        <w:autoSpaceDE w:val="0"/>
        <w:autoSpaceDN w:val="0"/>
        <w:adjustRightInd w:val="0"/>
        <w:spacing w:after="120"/>
        <w:jc w:val="both"/>
        <w:rPr>
          <w:sz w:val="22"/>
          <w:szCs w:val="22"/>
          <w:lang w:val="uk-UA"/>
        </w:rPr>
      </w:pPr>
      <w:r w:rsidRPr="00431116">
        <w:rPr>
          <w:sz w:val="22"/>
          <w:szCs w:val="22"/>
          <w:lang w:val="uk-UA"/>
        </w:rPr>
        <w:lastRenderedPageBreak/>
        <w:t xml:space="preserve">Витрати на комісійну винагороду страховим агентам за звітний рік, як зазначено у п. 4.15 приміток до фінансової звітності, склали 937 тис. грн. Товариство визнає такі виплати у складі витрат у періоді їх понесення. На нашу думку це не відповідає концептуальній основі фінансової звітності за МСФЗ, яка передбачає, що витрати визнаються у звіті про прибутки та збитки на основі безпосереднього зв’язку між понесеними витратами та заробленим доходом від конкретних статей. </w:t>
      </w:r>
      <w:r w:rsidR="002678A7" w:rsidRPr="00431116">
        <w:rPr>
          <w:sz w:val="22"/>
          <w:szCs w:val="22"/>
          <w:lang w:val="uk-UA"/>
        </w:rPr>
        <w:t xml:space="preserve">На нашу думку комісійна винагорода страховим посередникам </w:t>
      </w:r>
      <w:r w:rsidR="00E55521" w:rsidRPr="00431116">
        <w:rPr>
          <w:sz w:val="22"/>
          <w:szCs w:val="22"/>
          <w:lang w:val="uk-UA"/>
        </w:rPr>
        <w:t xml:space="preserve">за </w:t>
      </w:r>
      <w:r w:rsidR="002678A7" w:rsidRPr="00431116">
        <w:rPr>
          <w:sz w:val="22"/>
          <w:szCs w:val="22"/>
          <w:lang w:val="uk-UA"/>
        </w:rPr>
        <w:t>укладання нових договорів страхування</w:t>
      </w:r>
      <w:r w:rsidR="00E55521" w:rsidRPr="00431116">
        <w:rPr>
          <w:sz w:val="22"/>
          <w:szCs w:val="22"/>
          <w:lang w:val="uk-UA"/>
        </w:rPr>
        <w:t xml:space="preserve"> та відновлення існуючих страхових договорів, має визнаватися у звіті про прибутки та збитки на основі систематичного розподілу протягом періоду строку дії договору страхування одночасно із визнанням доходу у вигляді заробленої премії за таким договором. </w:t>
      </w:r>
      <w:r w:rsidR="00AC4DF5" w:rsidRPr="00431116">
        <w:rPr>
          <w:sz w:val="22"/>
          <w:szCs w:val="22"/>
          <w:lang w:val="uk-UA"/>
        </w:rPr>
        <w:t>За нашими оцінками н</w:t>
      </w:r>
      <w:r w:rsidR="00E55521" w:rsidRPr="00431116">
        <w:rPr>
          <w:sz w:val="22"/>
          <w:szCs w:val="22"/>
          <w:lang w:val="uk-UA"/>
        </w:rPr>
        <w:t>а основі аналізу наявних у Товариства документів сум</w:t>
      </w:r>
      <w:r w:rsidR="00AC4DF5" w:rsidRPr="00431116">
        <w:rPr>
          <w:sz w:val="22"/>
          <w:szCs w:val="22"/>
          <w:lang w:val="uk-UA"/>
        </w:rPr>
        <w:t>а</w:t>
      </w:r>
      <w:r w:rsidR="00E55521" w:rsidRPr="00431116">
        <w:rPr>
          <w:sz w:val="22"/>
          <w:szCs w:val="22"/>
          <w:lang w:val="uk-UA"/>
        </w:rPr>
        <w:t xml:space="preserve"> витрат, пов’язаних з укладанням договорів, що мали місце протягом звітного періоду, але які належать до доходів наступних періодів та мають визнаватися у витратах одночасно з визнанням відповідної заробленої страхової премії протягом строку дії договору,</w:t>
      </w:r>
      <w:r w:rsidR="00AC4DF5" w:rsidRPr="00431116">
        <w:rPr>
          <w:sz w:val="22"/>
          <w:szCs w:val="22"/>
          <w:lang w:val="uk-UA"/>
        </w:rPr>
        <w:t xml:space="preserve"> складає </w:t>
      </w:r>
      <w:r w:rsidR="005F1298" w:rsidRPr="00431116">
        <w:rPr>
          <w:sz w:val="22"/>
          <w:szCs w:val="22"/>
          <w:lang w:val="uk-UA"/>
        </w:rPr>
        <w:t>167</w:t>
      </w:r>
      <w:r w:rsidR="00AC4DF5" w:rsidRPr="00431116">
        <w:rPr>
          <w:sz w:val="22"/>
          <w:szCs w:val="22"/>
          <w:lang w:val="uk-UA"/>
        </w:rPr>
        <w:t xml:space="preserve"> тис. грн.</w:t>
      </w:r>
    </w:p>
    <w:p w:rsidR="005F1298" w:rsidRPr="00431116" w:rsidRDefault="005F1298" w:rsidP="009F5821">
      <w:pPr>
        <w:widowControl w:val="0"/>
        <w:autoSpaceDE w:val="0"/>
        <w:autoSpaceDN w:val="0"/>
        <w:adjustRightInd w:val="0"/>
        <w:spacing w:after="120"/>
        <w:jc w:val="both"/>
        <w:rPr>
          <w:sz w:val="22"/>
          <w:szCs w:val="22"/>
          <w:lang w:val="uk-UA"/>
        </w:rPr>
      </w:pPr>
      <w:r w:rsidRPr="00431116">
        <w:rPr>
          <w:sz w:val="22"/>
          <w:szCs w:val="22"/>
          <w:lang w:val="uk-UA"/>
        </w:rPr>
        <w:t>Якби Товариство визнало витрати майбутніх періодів щодо комісійної винагороди страховим посередникам, поточні активи, чистий прибуток та власний капітал збільшилися б відповідно на 167 тис. грн.</w:t>
      </w:r>
    </w:p>
    <w:p w:rsidR="00C87115" w:rsidRDefault="00F176A1" w:rsidP="00F176A1">
      <w:pPr>
        <w:widowControl w:val="0"/>
        <w:autoSpaceDE w:val="0"/>
        <w:autoSpaceDN w:val="0"/>
        <w:adjustRightInd w:val="0"/>
        <w:spacing w:line="266" w:lineRule="exact"/>
        <w:jc w:val="both"/>
        <w:rPr>
          <w:color w:val="000000"/>
          <w:sz w:val="22"/>
          <w:lang w:val="uk-UA"/>
        </w:rPr>
      </w:pPr>
      <w:r w:rsidRPr="00F176A1">
        <w:rPr>
          <w:color w:val="000000"/>
          <w:sz w:val="22"/>
          <w:lang w:val="uk-UA"/>
        </w:rPr>
        <w:t xml:space="preserve">Ми провели аудит відповідно до Міжнародних стандартів аудиту (МСА). Нашу відповідальність згідно з цими стандартами викладено в розділі </w:t>
      </w:r>
      <w:r w:rsidR="002F0ABC" w:rsidRPr="00E84ACB">
        <w:rPr>
          <w:sz w:val="22"/>
          <w:szCs w:val="22"/>
          <w:lang w:val="uk-UA"/>
        </w:rPr>
        <w:t>"</w:t>
      </w:r>
      <w:r w:rsidRPr="00F176A1">
        <w:rPr>
          <w:color w:val="000000"/>
          <w:sz w:val="22"/>
          <w:lang w:val="uk-UA"/>
        </w:rPr>
        <w:t>Відповідальність аудитора за аудит фінансової звітності</w:t>
      </w:r>
      <w:r w:rsidR="002F0ABC" w:rsidRPr="00E84ACB">
        <w:rPr>
          <w:sz w:val="22"/>
          <w:szCs w:val="22"/>
          <w:lang w:val="uk-UA"/>
        </w:rPr>
        <w:t>"</w:t>
      </w:r>
      <w:r w:rsidRPr="00F176A1">
        <w:rPr>
          <w:color w:val="000000"/>
          <w:sz w:val="22"/>
          <w:lang w:val="uk-UA"/>
        </w:rPr>
        <w:t xml:space="preserve"> нашого звіту. </w:t>
      </w:r>
    </w:p>
    <w:p w:rsidR="002F0ABC" w:rsidRDefault="00F176A1" w:rsidP="00F1031B">
      <w:pPr>
        <w:widowControl w:val="0"/>
        <w:autoSpaceDE w:val="0"/>
        <w:autoSpaceDN w:val="0"/>
        <w:adjustRightInd w:val="0"/>
        <w:spacing w:after="120"/>
        <w:jc w:val="both"/>
        <w:rPr>
          <w:color w:val="000000"/>
          <w:sz w:val="22"/>
          <w:lang w:val="uk-UA"/>
        </w:rPr>
      </w:pPr>
      <w:r w:rsidRPr="00F176A1">
        <w:rPr>
          <w:color w:val="000000"/>
          <w:sz w:val="22"/>
          <w:lang w:val="uk-UA"/>
        </w:rPr>
        <w:t>Ми є незалежними по відношенню до</w:t>
      </w:r>
      <w:r>
        <w:rPr>
          <w:color w:val="000000"/>
          <w:sz w:val="22"/>
          <w:lang w:val="uk-UA"/>
        </w:rPr>
        <w:t xml:space="preserve"> Товариства </w:t>
      </w:r>
      <w:r w:rsidRPr="00F176A1">
        <w:rPr>
          <w:color w:val="000000"/>
          <w:sz w:val="22"/>
          <w:lang w:val="uk-UA"/>
        </w:rPr>
        <w:t>згідно з етичними вимогами</w:t>
      </w:r>
      <w:r>
        <w:rPr>
          <w:color w:val="000000"/>
          <w:sz w:val="22"/>
          <w:lang w:val="uk-UA"/>
        </w:rPr>
        <w:t xml:space="preserve"> </w:t>
      </w:r>
      <w:r w:rsidRPr="00F176A1">
        <w:rPr>
          <w:color w:val="000000"/>
          <w:sz w:val="22"/>
          <w:lang w:val="uk-UA"/>
        </w:rPr>
        <w:t>Кодекс</w:t>
      </w:r>
      <w:r>
        <w:rPr>
          <w:color w:val="000000"/>
          <w:sz w:val="22"/>
          <w:lang w:val="uk-UA"/>
        </w:rPr>
        <w:t>у</w:t>
      </w:r>
      <w:r w:rsidRPr="00F176A1">
        <w:rPr>
          <w:color w:val="000000"/>
          <w:sz w:val="22"/>
          <w:lang w:val="uk-UA"/>
        </w:rPr>
        <w:t xml:space="preserve"> етики</w:t>
      </w:r>
      <w:r>
        <w:rPr>
          <w:color w:val="000000"/>
          <w:sz w:val="22"/>
          <w:lang w:val="uk-UA"/>
        </w:rPr>
        <w:t xml:space="preserve"> професійних бухгалтерів, виданого </w:t>
      </w:r>
      <w:r w:rsidRPr="00F176A1">
        <w:rPr>
          <w:color w:val="000000"/>
          <w:sz w:val="22"/>
          <w:lang w:val="uk-UA"/>
        </w:rPr>
        <w:t xml:space="preserve">Радою з Міжнародних стандартів етики для бухгалтерів, застосовними в </w:t>
      </w:r>
      <w:r>
        <w:rPr>
          <w:color w:val="000000"/>
          <w:sz w:val="22"/>
          <w:lang w:val="uk-UA"/>
        </w:rPr>
        <w:t>Україні</w:t>
      </w:r>
      <w:r w:rsidRPr="00F176A1">
        <w:rPr>
          <w:color w:val="000000"/>
          <w:sz w:val="22"/>
          <w:lang w:val="uk-UA"/>
        </w:rPr>
        <w:t xml:space="preserve"> до нашого аудиту фінансової звітності, а також виконали інші обов’язки з етики відповідно до цих вимог</w:t>
      </w:r>
      <w:r w:rsidR="002F0ABC">
        <w:rPr>
          <w:color w:val="000000"/>
          <w:sz w:val="22"/>
          <w:lang w:val="uk-UA"/>
        </w:rPr>
        <w:t xml:space="preserve">, </w:t>
      </w:r>
      <w:r w:rsidR="002F0ABC" w:rsidRPr="002F0ABC">
        <w:rPr>
          <w:color w:val="000000"/>
          <w:sz w:val="22"/>
          <w:lang w:val="uk-UA"/>
        </w:rPr>
        <w:t>визначені чинним законодавством України, зокрема, Законами "Про аудиторську діяльність", "Про фінансові послуги та державне регулювання ринків фінансових послуг"</w:t>
      </w:r>
      <w:r w:rsidRPr="00F176A1">
        <w:rPr>
          <w:color w:val="000000"/>
          <w:sz w:val="22"/>
          <w:lang w:val="uk-UA"/>
        </w:rPr>
        <w:t xml:space="preserve">. </w:t>
      </w:r>
    </w:p>
    <w:p w:rsidR="0002027B" w:rsidRDefault="00F176A1" w:rsidP="00F1031B">
      <w:pPr>
        <w:widowControl w:val="0"/>
        <w:autoSpaceDE w:val="0"/>
        <w:autoSpaceDN w:val="0"/>
        <w:adjustRightInd w:val="0"/>
        <w:spacing w:after="120"/>
        <w:jc w:val="both"/>
        <w:rPr>
          <w:sz w:val="22"/>
          <w:szCs w:val="22"/>
          <w:lang w:val="uk-UA"/>
        </w:rPr>
      </w:pPr>
      <w:r w:rsidRPr="00F176A1">
        <w:rPr>
          <w:color w:val="000000"/>
          <w:sz w:val="22"/>
          <w:lang w:val="uk-UA"/>
        </w:rPr>
        <w:t>Ми вважаємо, що отримані нами аудиторські докази є достатніми і прийнятними для використання їх як основи для нашої думки</w:t>
      </w:r>
      <w:r>
        <w:rPr>
          <w:color w:val="000000"/>
          <w:sz w:val="22"/>
          <w:lang w:val="uk-UA"/>
        </w:rPr>
        <w:t>.</w:t>
      </w:r>
      <w:r w:rsidRPr="00F176A1">
        <w:rPr>
          <w:sz w:val="22"/>
          <w:szCs w:val="22"/>
          <w:lang w:val="uk-UA"/>
        </w:rPr>
        <w:t xml:space="preserve">  </w:t>
      </w:r>
    </w:p>
    <w:p w:rsidR="00EE31CD" w:rsidRDefault="00EE31CD" w:rsidP="00F176A1">
      <w:pPr>
        <w:widowControl w:val="0"/>
        <w:autoSpaceDE w:val="0"/>
        <w:autoSpaceDN w:val="0"/>
        <w:adjustRightInd w:val="0"/>
        <w:spacing w:line="266" w:lineRule="exact"/>
        <w:jc w:val="both"/>
        <w:rPr>
          <w:b/>
          <w:sz w:val="22"/>
          <w:szCs w:val="22"/>
          <w:lang w:val="uk-UA"/>
        </w:rPr>
      </w:pPr>
      <w:r w:rsidRPr="00EE31CD">
        <w:rPr>
          <w:b/>
          <w:sz w:val="22"/>
          <w:szCs w:val="22"/>
          <w:lang w:val="uk-UA"/>
        </w:rPr>
        <w:t>Наш підхід до аудиту</w:t>
      </w:r>
    </w:p>
    <w:p w:rsidR="00EE31CD" w:rsidRPr="00872166" w:rsidRDefault="00CF7ACC" w:rsidP="00EE31CD">
      <w:pPr>
        <w:widowControl w:val="0"/>
        <w:autoSpaceDE w:val="0"/>
        <w:autoSpaceDN w:val="0"/>
        <w:adjustRightInd w:val="0"/>
        <w:spacing w:line="266" w:lineRule="exact"/>
        <w:jc w:val="both"/>
        <w:rPr>
          <w:b/>
          <w:sz w:val="22"/>
          <w:szCs w:val="22"/>
          <w:lang w:val="uk-UA"/>
        </w:rPr>
      </w:pPr>
      <w:r w:rsidRPr="00872166">
        <w:rPr>
          <w:b/>
          <w:sz w:val="22"/>
          <w:szCs w:val="22"/>
          <w:lang w:val="uk-UA"/>
        </w:rPr>
        <w:t>Обсяг аудиту</w:t>
      </w:r>
    </w:p>
    <w:p w:rsidR="000955D1" w:rsidRPr="003F523D" w:rsidRDefault="000955D1" w:rsidP="000955D1">
      <w:pPr>
        <w:widowControl w:val="0"/>
        <w:autoSpaceDE w:val="0"/>
        <w:autoSpaceDN w:val="0"/>
        <w:adjustRightInd w:val="0"/>
        <w:spacing w:line="266" w:lineRule="exact"/>
        <w:jc w:val="both"/>
        <w:rPr>
          <w:sz w:val="22"/>
          <w:szCs w:val="22"/>
          <w:lang w:val="uk-UA"/>
        </w:rPr>
      </w:pPr>
      <w:r w:rsidRPr="003F523D">
        <w:rPr>
          <w:sz w:val="22"/>
          <w:szCs w:val="22"/>
          <w:lang w:val="uk-UA"/>
        </w:rPr>
        <w:t>Ми визначили обсяг нашого аудиту з метою виконати достатню роботу для того, щоб надати висновок щодо фінансової звітності в цілому, з урахуванням структури компанії, процесів бухгалтерського обліку та внутрішнього контролю, а також галузі, в якій вона здійснює діяльність.</w:t>
      </w:r>
    </w:p>
    <w:p w:rsidR="00EE31CD" w:rsidRDefault="000955D1" w:rsidP="00F1031B">
      <w:pPr>
        <w:widowControl w:val="0"/>
        <w:autoSpaceDE w:val="0"/>
        <w:autoSpaceDN w:val="0"/>
        <w:adjustRightInd w:val="0"/>
        <w:spacing w:after="120"/>
        <w:jc w:val="both"/>
        <w:rPr>
          <w:sz w:val="22"/>
          <w:szCs w:val="22"/>
          <w:lang w:val="uk-UA"/>
        </w:rPr>
      </w:pPr>
      <w:r w:rsidRPr="003F523D">
        <w:rPr>
          <w:sz w:val="22"/>
          <w:szCs w:val="22"/>
          <w:lang w:val="uk-UA"/>
        </w:rPr>
        <w:t>Ми спланували аудит, визначаючи суттєвість та оцінюючи ризики суттєвого викривлення у фінансовій звітності. Зокрема, ми розглянули, де були зроблені суб'єктивні судження, наприклад, стосовно значних облікових оцінок, які передбачають формування припущень та розгляду майбутніх подій, які за своєю суттю є невизначеними. Ми також розглянули ризик подолання управлінським персоналом компанії системи внутрішнього контролю, включаючи, поміж іншого, питання щодо наявності ознак упередженості, яке створює ризик суттєвого викривлення внаслідок шахрайства.</w:t>
      </w:r>
      <w:r w:rsidR="00872166">
        <w:rPr>
          <w:sz w:val="22"/>
          <w:szCs w:val="22"/>
          <w:lang w:val="uk-UA"/>
        </w:rPr>
        <w:t xml:space="preserve"> </w:t>
      </w:r>
      <w:r w:rsidR="00872166" w:rsidRPr="00EE31CD">
        <w:rPr>
          <w:sz w:val="22"/>
          <w:szCs w:val="22"/>
          <w:lang w:val="uk-UA"/>
        </w:rPr>
        <w:t xml:space="preserve"> </w:t>
      </w:r>
      <w:r w:rsidR="00872166">
        <w:rPr>
          <w:sz w:val="22"/>
          <w:szCs w:val="22"/>
          <w:lang w:val="uk-UA"/>
        </w:rPr>
        <w:t xml:space="preserve"> </w:t>
      </w:r>
    </w:p>
    <w:p w:rsidR="00EE31CD" w:rsidRPr="00872166" w:rsidRDefault="00872166" w:rsidP="00EE31CD">
      <w:pPr>
        <w:widowControl w:val="0"/>
        <w:autoSpaceDE w:val="0"/>
        <w:autoSpaceDN w:val="0"/>
        <w:adjustRightInd w:val="0"/>
        <w:spacing w:line="266" w:lineRule="exact"/>
        <w:jc w:val="both"/>
        <w:rPr>
          <w:b/>
          <w:sz w:val="22"/>
          <w:szCs w:val="22"/>
          <w:lang w:val="uk-UA"/>
        </w:rPr>
      </w:pPr>
      <w:r w:rsidRPr="00872166">
        <w:rPr>
          <w:b/>
          <w:sz w:val="22"/>
          <w:szCs w:val="22"/>
          <w:lang w:val="uk-UA"/>
        </w:rPr>
        <w:t>Суттєвість</w:t>
      </w:r>
    </w:p>
    <w:p w:rsidR="00EE31CD" w:rsidRPr="00EE31CD" w:rsidRDefault="00872166" w:rsidP="00F1031B">
      <w:pPr>
        <w:widowControl w:val="0"/>
        <w:autoSpaceDE w:val="0"/>
        <w:autoSpaceDN w:val="0"/>
        <w:adjustRightInd w:val="0"/>
        <w:spacing w:after="120"/>
        <w:jc w:val="both"/>
        <w:rPr>
          <w:sz w:val="22"/>
          <w:szCs w:val="22"/>
          <w:lang w:val="uk-UA"/>
        </w:rPr>
      </w:pPr>
      <w:r>
        <w:rPr>
          <w:sz w:val="22"/>
          <w:szCs w:val="22"/>
          <w:lang w:val="uk-UA"/>
        </w:rPr>
        <w:t>На обсяг нашого аудиту вплинуло застосування суттєвості. Метою нашої аудиторської думки є надання впевненості, що фінансова звітність не містить суттєвих викривлень внаслідок шахрайства чи помилки.  Викривлення вважаються суттєвими</w:t>
      </w:r>
      <w:r w:rsidR="00075D9D">
        <w:rPr>
          <w:sz w:val="22"/>
          <w:szCs w:val="22"/>
          <w:lang w:val="uk-UA"/>
        </w:rPr>
        <w:t xml:space="preserve">, </w:t>
      </w:r>
      <w:r w:rsidR="003717EB">
        <w:rPr>
          <w:sz w:val="22"/>
          <w:szCs w:val="22"/>
          <w:lang w:val="uk-UA"/>
        </w:rPr>
        <w:t xml:space="preserve">якщо </w:t>
      </w:r>
      <w:r w:rsidR="003717EB" w:rsidRPr="003717EB">
        <w:rPr>
          <w:sz w:val="22"/>
          <w:szCs w:val="22"/>
          <w:lang w:val="uk-UA"/>
        </w:rPr>
        <w:t>обґрунтовано очікується, що вони, окремо або в сукупності, можуть вплинути на економічні рішення користувачів, які приймаються на основі фінансової звітності</w:t>
      </w:r>
      <w:r w:rsidR="00EE31CD" w:rsidRPr="00EE31CD">
        <w:rPr>
          <w:sz w:val="22"/>
          <w:szCs w:val="22"/>
          <w:lang w:val="uk-UA"/>
        </w:rPr>
        <w:t>.</w:t>
      </w:r>
    </w:p>
    <w:p w:rsidR="00EE31CD" w:rsidRDefault="003717EB" w:rsidP="00F1031B">
      <w:pPr>
        <w:widowControl w:val="0"/>
        <w:autoSpaceDE w:val="0"/>
        <w:autoSpaceDN w:val="0"/>
        <w:adjustRightInd w:val="0"/>
        <w:spacing w:after="120"/>
        <w:jc w:val="both"/>
        <w:rPr>
          <w:sz w:val="22"/>
          <w:szCs w:val="22"/>
          <w:lang w:val="uk-UA"/>
        </w:rPr>
      </w:pPr>
      <w:r>
        <w:rPr>
          <w:sz w:val="22"/>
          <w:szCs w:val="22"/>
          <w:lang w:val="uk-UA"/>
        </w:rPr>
        <w:t>На основі нашого професійного судження ми визначили певні кількісні пороги суттєвості, включаючи загальну суттєвість на рівні ф</w:t>
      </w:r>
      <w:r w:rsidR="008A7A97">
        <w:rPr>
          <w:sz w:val="22"/>
          <w:szCs w:val="22"/>
          <w:lang w:val="uk-UA"/>
        </w:rPr>
        <w:t>інансової звітності в цілому</w:t>
      </w:r>
      <w:r>
        <w:rPr>
          <w:sz w:val="22"/>
          <w:szCs w:val="22"/>
          <w:lang w:val="uk-UA"/>
        </w:rPr>
        <w:t>. Вони, разом з якісними міркуваннями, допомогли нам визначити обсяг нашого аудиту та характер, час та масштаб наших аудиторських процедур</w:t>
      </w:r>
      <w:r w:rsidR="009178C8">
        <w:rPr>
          <w:sz w:val="22"/>
          <w:szCs w:val="22"/>
          <w:lang w:val="uk-UA"/>
        </w:rPr>
        <w:t xml:space="preserve">, а також оцінити вплив викривлень, окремо та у сукупності, на фінансову звітність в цілому. </w:t>
      </w:r>
      <w:r>
        <w:rPr>
          <w:sz w:val="22"/>
          <w:szCs w:val="22"/>
          <w:lang w:val="uk-UA"/>
        </w:rPr>
        <w:t xml:space="preserve"> </w:t>
      </w:r>
    </w:p>
    <w:p w:rsidR="00B70017" w:rsidRPr="000955D1" w:rsidRDefault="00B70017" w:rsidP="00B70017">
      <w:pPr>
        <w:widowControl w:val="0"/>
        <w:autoSpaceDE w:val="0"/>
        <w:autoSpaceDN w:val="0"/>
        <w:adjustRightInd w:val="0"/>
        <w:spacing w:line="266" w:lineRule="exact"/>
        <w:jc w:val="center"/>
        <w:rPr>
          <w:b/>
          <w:i/>
          <w:sz w:val="24"/>
          <w:szCs w:val="22"/>
          <w:lang w:val="uk-UA"/>
        </w:rPr>
      </w:pPr>
      <w:r w:rsidRPr="000955D1">
        <w:rPr>
          <w:b/>
          <w:i/>
          <w:sz w:val="24"/>
          <w:szCs w:val="22"/>
          <w:lang w:val="uk-UA"/>
        </w:rPr>
        <w:t>Ключові питання аудиту</w:t>
      </w:r>
      <w:r w:rsidR="00D268C7" w:rsidRPr="000955D1">
        <w:rPr>
          <w:b/>
          <w:i/>
          <w:sz w:val="24"/>
          <w:szCs w:val="22"/>
          <w:lang w:val="uk-UA"/>
        </w:rPr>
        <w:t xml:space="preserve"> </w:t>
      </w:r>
    </w:p>
    <w:p w:rsidR="00B70017" w:rsidRPr="000955D1" w:rsidRDefault="00B70017" w:rsidP="00F1031B">
      <w:pPr>
        <w:widowControl w:val="0"/>
        <w:autoSpaceDE w:val="0"/>
        <w:autoSpaceDN w:val="0"/>
        <w:adjustRightInd w:val="0"/>
        <w:spacing w:after="120"/>
        <w:jc w:val="both"/>
        <w:rPr>
          <w:sz w:val="22"/>
          <w:szCs w:val="22"/>
          <w:lang w:val="uk-UA"/>
        </w:rPr>
      </w:pPr>
      <w:r w:rsidRPr="000955D1">
        <w:rPr>
          <w:sz w:val="22"/>
          <w:szCs w:val="22"/>
          <w:lang w:val="uk-UA"/>
        </w:rPr>
        <w:t xml:space="preserve">Ключові питання аудиту – це питання, які, на наше професійне судження, були найбільш значущими під час нашого аудиту фінансової звітності за поточний період. Ці питання </w:t>
      </w:r>
      <w:r w:rsidRPr="000955D1">
        <w:rPr>
          <w:sz w:val="22"/>
          <w:szCs w:val="22"/>
          <w:lang w:val="uk-UA"/>
        </w:rPr>
        <w:lastRenderedPageBreak/>
        <w:t>розглядались у контексті нашого аудиту фінансової звітності в цілому та враховувались при формуванні думки щодо неї, при цьому ми не висловлюємо окремої думки щодо цих питань.</w:t>
      </w:r>
    </w:p>
    <w:p w:rsidR="000955D1" w:rsidRPr="000546E4" w:rsidRDefault="000955D1" w:rsidP="00F1031B">
      <w:pPr>
        <w:widowControl w:val="0"/>
        <w:autoSpaceDE w:val="0"/>
        <w:autoSpaceDN w:val="0"/>
        <w:adjustRightInd w:val="0"/>
        <w:spacing w:after="120"/>
        <w:jc w:val="both"/>
        <w:rPr>
          <w:sz w:val="22"/>
          <w:szCs w:val="22"/>
          <w:lang w:val="uk-UA"/>
        </w:rPr>
      </w:pPr>
      <w:r w:rsidRPr="000546E4">
        <w:rPr>
          <w:sz w:val="22"/>
          <w:szCs w:val="22"/>
          <w:lang w:val="uk-UA"/>
        </w:rPr>
        <w:t>В якості ключових питань аудиту були ідентифіковані наступні ділянки:</w:t>
      </w:r>
    </w:p>
    <w:p w:rsidR="0017555D" w:rsidRPr="000546E4" w:rsidRDefault="000546E4" w:rsidP="0017555D">
      <w:pPr>
        <w:widowControl w:val="0"/>
        <w:numPr>
          <w:ilvl w:val="0"/>
          <w:numId w:val="21"/>
        </w:numPr>
        <w:autoSpaceDE w:val="0"/>
        <w:autoSpaceDN w:val="0"/>
        <w:adjustRightInd w:val="0"/>
        <w:spacing w:line="266" w:lineRule="exact"/>
        <w:jc w:val="both"/>
        <w:rPr>
          <w:sz w:val="22"/>
          <w:szCs w:val="22"/>
          <w:lang w:val="uk-UA"/>
        </w:rPr>
      </w:pPr>
      <w:r w:rsidRPr="000546E4">
        <w:rPr>
          <w:sz w:val="22"/>
          <w:szCs w:val="22"/>
          <w:lang w:val="uk-UA"/>
        </w:rPr>
        <w:t>Оцінка страхових резервів</w:t>
      </w:r>
      <w:r w:rsidR="005F0CA6">
        <w:rPr>
          <w:sz w:val="22"/>
          <w:szCs w:val="22"/>
          <w:lang w:val="uk-UA"/>
        </w:rPr>
        <w:t xml:space="preserve"> збитків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0546E4" w:rsidRPr="000546E4" w:rsidTr="00BF4D25">
        <w:tc>
          <w:tcPr>
            <w:tcW w:w="4785" w:type="dxa"/>
            <w:shd w:val="clear" w:color="auto" w:fill="auto"/>
          </w:tcPr>
          <w:p w:rsidR="00C87115" w:rsidRPr="000546E4" w:rsidRDefault="00C87115" w:rsidP="00BF4D25">
            <w:pPr>
              <w:widowControl w:val="0"/>
              <w:autoSpaceDE w:val="0"/>
              <w:autoSpaceDN w:val="0"/>
              <w:adjustRightInd w:val="0"/>
              <w:spacing w:line="266" w:lineRule="exact"/>
              <w:jc w:val="both"/>
              <w:rPr>
                <w:sz w:val="22"/>
                <w:szCs w:val="22"/>
                <w:lang w:val="uk-UA"/>
              </w:rPr>
            </w:pPr>
            <w:r w:rsidRPr="000546E4">
              <w:rPr>
                <w:sz w:val="22"/>
                <w:szCs w:val="22"/>
                <w:lang w:val="uk-UA"/>
              </w:rPr>
              <w:t>Ключове питання аудиту</w:t>
            </w:r>
          </w:p>
        </w:tc>
        <w:tc>
          <w:tcPr>
            <w:tcW w:w="4786" w:type="dxa"/>
            <w:shd w:val="clear" w:color="auto" w:fill="auto"/>
          </w:tcPr>
          <w:p w:rsidR="00C87115" w:rsidRPr="000546E4" w:rsidRDefault="00C87115" w:rsidP="00BF4D25">
            <w:pPr>
              <w:widowControl w:val="0"/>
              <w:autoSpaceDE w:val="0"/>
              <w:autoSpaceDN w:val="0"/>
              <w:adjustRightInd w:val="0"/>
              <w:spacing w:line="266" w:lineRule="exact"/>
              <w:jc w:val="both"/>
              <w:rPr>
                <w:sz w:val="22"/>
                <w:szCs w:val="22"/>
                <w:lang w:val="uk-UA"/>
              </w:rPr>
            </w:pPr>
            <w:r w:rsidRPr="000546E4">
              <w:rPr>
                <w:sz w:val="22"/>
                <w:szCs w:val="22"/>
                <w:lang w:val="uk-UA"/>
              </w:rPr>
              <w:t>Яким чином це питання розглянуто під час аудиту</w:t>
            </w:r>
          </w:p>
        </w:tc>
      </w:tr>
      <w:tr w:rsidR="00C87115" w:rsidRPr="00002997" w:rsidTr="00BF4D25">
        <w:tc>
          <w:tcPr>
            <w:tcW w:w="4785" w:type="dxa"/>
            <w:shd w:val="clear" w:color="auto" w:fill="auto"/>
          </w:tcPr>
          <w:p w:rsidR="00B13FDB" w:rsidRPr="00AE1300" w:rsidRDefault="00B13FDB" w:rsidP="00B13FDB">
            <w:pPr>
              <w:widowControl w:val="0"/>
              <w:autoSpaceDE w:val="0"/>
              <w:autoSpaceDN w:val="0"/>
              <w:adjustRightInd w:val="0"/>
              <w:spacing w:line="266" w:lineRule="exact"/>
              <w:jc w:val="both"/>
              <w:rPr>
                <w:color w:val="000000"/>
                <w:sz w:val="22"/>
                <w:szCs w:val="22"/>
                <w:lang w:val="uk-UA"/>
              </w:rPr>
            </w:pPr>
            <w:r w:rsidRPr="00AE1300">
              <w:rPr>
                <w:color w:val="000000"/>
                <w:sz w:val="22"/>
                <w:szCs w:val="22"/>
                <w:lang w:val="uk-UA"/>
              </w:rPr>
              <w:t>Оцінка резервів збитків включає високий ступінь суб'єктивності та складності</w:t>
            </w:r>
            <w:r w:rsidR="000546E4" w:rsidRPr="00AE1300">
              <w:rPr>
                <w:color w:val="000000"/>
                <w:sz w:val="22"/>
                <w:szCs w:val="22"/>
                <w:lang w:val="uk-UA"/>
              </w:rPr>
              <w:t xml:space="preserve">. </w:t>
            </w:r>
            <w:r w:rsidRPr="00AE1300">
              <w:rPr>
                <w:color w:val="000000"/>
                <w:sz w:val="22"/>
                <w:szCs w:val="22"/>
                <w:lang w:val="uk-UA"/>
              </w:rPr>
              <w:t>Резерви для покриття витрат та оцінка збитків відображають оцінку майбутніх платежів заявлених та незаявлених вимог щодо компенсації збитків та пов’язаних витрат на певну дату. Товариство використовує ряд актуарних методологій для оцінки цих резервів. Створення резервів збитків вимагає суттєвих суджень щодо чинників та припущень</w:t>
            </w:r>
            <w:r w:rsidR="000B295C" w:rsidRPr="00AE1300">
              <w:rPr>
                <w:color w:val="000000"/>
                <w:sz w:val="22"/>
                <w:szCs w:val="22"/>
                <w:lang w:val="uk-UA"/>
              </w:rPr>
              <w:t>,</w:t>
            </w:r>
            <w:r w:rsidRPr="00AE1300">
              <w:rPr>
                <w:color w:val="000000"/>
                <w:sz w:val="22"/>
                <w:szCs w:val="22"/>
                <w:lang w:val="uk-UA"/>
              </w:rPr>
              <w:t xml:space="preserve"> </w:t>
            </w:r>
            <w:r w:rsidR="000B295C" w:rsidRPr="00AE1300">
              <w:rPr>
                <w:color w:val="000000"/>
                <w:sz w:val="22"/>
                <w:szCs w:val="22"/>
                <w:lang w:val="uk-UA"/>
              </w:rPr>
              <w:t>т</w:t>
            </w:r>
            <w:r w:rsidRPr="00AE1300">
              <w:rPr>
                <w:color w:val="000000"/>
                <w:sz w:val="22"/>
                <w:szCs w:val="22"/>
                <w:lang w:val="uk-UA"/>
              </w:rPr>
              <w:t xml:space="preserve">аких як інфляція, тенденції розвитку претензій та регуляторні зміни. </w:t>
            </w:r>
          </w:p>
          <w:p w:rsidR="000546E4" w:rsidRPr="00AE1300" w:rsidRDefault="000B295C" w:rsidP="000546E4">
            <w:pPr>
              <w:widowControl w:val="0"/>
              <w:autoSpaceDE w:val="0"/>
              <w:autoSpaceDN w:val="0"/>
              <w:adjustRightInd w:val="0"/>
              <w:spacing w:line="266" w:lineRule="exact"/>
              <w:jc w:val="both"/>
              <w:rPr>
                <w:color w:val="000000"/>
                <w:sz w:val="22"/>
                <w:szCs w:val="22"/>
                <w:lang w:val="uk-UA"/>
              </w:rPr>
            </w:pPr>
            <w:r w:rsidRPr="00AE1300">
              <w:rPr>
                <w:color w:val="000000"/>
                <w:sz w:val="22"/>
                <w:szCs w:val="22"/>
                <w:lang w:val="uk-UA"/>
              </w:rPr>
              <w:t>Інформацію щодо формування, сум та оцінки адекватності резервів розкрито у п. 3.7.4, 3.7.7 та 4.7 приміток до фінансової звітності.</w:t>
            </w:r>
          </w:p>
          <w:p w:rsidR="00B13FDB" w:rsidRPr="00AE1300" w:rsidRDefault="00B13FDB" w:rsidP="00B13FDB">
            <w:pPr>
              <w:widowControl w:val="0"/>
              <w:autoSpaceDE w:val="0"/>
              <w:autoSpaceDN w:val="0"/>
              <w:adjustRightInd w:val="0"/>
              <w:spacing w:line="266" w:lineRule="exact"/>
              <w:jc w:val="both"/>
              <w:rPr>
                <w:color w:val="000000"/>
                <w:sz w:val="22"/>
                <w:szCs w:val="22"/>
                <w:lang w:val="uk-UA"/>
              </w:rPr>
            </w:pPr>
          </w:p>
          <w:p w:rsidR="00152DE4" w:rsidRPr="00AE1300" w:rsidRDefault="00152DE4" w:rsidP="00B13FDB">
            <w:pPr>
              <w:widowControl w:val="0"/>
              <w:autoSpaceDE w:val="0"/>
              <w:autoSpaceDN w:val="0"/>
              <w:adjustRightInd w:val="0"/>
              <w:spacing w:line="266" w:lineRule="exact"/>
              <w:jc w:val="both"/>
              <w:rPr>
                <w:color w:val="000000"/>
                <w:sz w:val="22"/>
                <w:szCs w:val="22"/>
                <w:lang w:val="uk-UA"/>
              </w:rPr>
            </w:pPr>
          </w:p>
        </w:tc>
        <w:tc>
          <w:tcPr>
            <w:tcW w:w="4786" w:type="dxa"/>
            <w:shd w:val="clear" w:color="auto" w:fill="auto"/>
          </w:tcPr>
          <w:p w:rsidR="000546E4" w:rsidRPr="00833CAE" w:rsidRDefault="000B295C" w:rsidP="000546E4">
            <w:pPr>
              <w:widowControl w:val="0"/>
              <w:autoSpaceDE w:val="0"/>
              <w:autoSpaceDN w:val="0"/>
              <w:adjustRightInd w:val="0"/>
              <w:spacing w:line="266" w:lineRule="exact"/>
              <w:jc w:val="both"/>
              <w:rPr>
                <w:sz w:val="22"/>
                <w:szCs w:val="22"/>
                <w:lang w:val="uk-UA"/>
              </w:rPr>
            </w:pPr>
            <w:r w:rsidRPr="00833CAE">
              <w:rPr>
                <w:sz w:val="22"/>
                <w:szCs w:val="22"/>
                <w:lang w:val="uk-UA"/>
              </w:rPr>
              <w:t xml:space="preserve">Ми розглянули ефективність функціонування основних процедур внутрішнього контролю над </w:t>
            </w:r>
            <w:proofErr w:type="spellStart"/>
            <w:r w:rsidRPr="00833CAE">
              <w:rPr>
                <w:sz w:val="22"/>
                <w:szCs w:val="22"/>
                <w:lang w:val="uk-UA"/>
              </w:rPr>
              <w:t>актуарними</w:t>
            </w:r>
            <w:proofErr w:type="spellEnd"/>
            <w:r w:rsidRPr="00833CAE">
              <w:rPr>
                <w:sz w:val="22"/>
                <w:szCs w:val="22"/>
                <w:lang w:val="uk-UA"/>
              </w:rPr>
              <w:t xml:space="preserve"> </w:t>
            </w:r>
            <w:proofErr w:type="spellStart"/>
            <w:r w:rsidRPr="00833CAE">
              <w:rPr>
                <w:sz w:val="22"/>
                <w:szCs w:val="22"/>
                <w:lang w:val="uk-UA"/>
              </w:rPr>
              <w:t>методологіями</w:t>
            </w:r>
            <w:proofErr w:type="spellEnd"/>
            <w:r w:rsidRPr="00833CAE">
              <w:rPr>
                <w:sz w:val="22"/>
                <w:szCs w:val="22"/>
                <w:lang w:val="uk-UA"/>
              </w:rPr>
              <w:t xml:space="preserve">, цілісністю даних, використаних в </w:t>
            </w:r>
            <w:proofErr w:type="spellStart"/>
            <w:r w:rsidRPr="00833CAE">
              <w:rPr>
                <w:sz w:val="22"/>
                <w:szCs w:val="22"/>
                <w:lang w:val="uk-UA"/>
              </w:rPr>
              <w:t>актуарній</w:t>
            </w:r>
            <w:proofErr w:type="spellEnd"/>
            <w:r w:rsidRPr="00833CAE">
              <w:rPr>
                <w:sz w:val="22"/>
                <w:szCs w:val="22"/>
                <w:lang w:val="uk-UA"/>
              </w:rPr>
              <w:t xml:space="preserve"> оцінці, а також встановлення припущень та процеси, використані</w:t>
            </w:r>
            <w:r w:rsidR="00F81C64" w:rsidRPr="00833CAE">
              <w:rPr>
                <w:sz w:val="22"/>
                <w:szCs w:val="22"/>
                <w:lang w:val="uk-UA"/>
              </w:rPr>
              <w:t xml:space="preserve"> управлінським персоналом</w:t>
            </w:r>
            <w:r w:rsidR="000546E4" w:rsidRPr="00833CAE">
              <w:rPr>
                <w:sz w:val="22"/>
                <w:szCs w:val="22"/>
                <w:lang w:val="uk-UA"/>
              </w:rPr>
              <w:t xml:space="preserve">, </w:t>
            </w:r>
            <w:r w:rsidR="00F81C64" w:rsidRPr="00833CAE">
              <w:rPr>
                <w:sz w:val="22"/>
                <w:szCs w:val="22"/>
                <w:lang w:val="uk-UA"/>
              </w:rPr>
              <w:t>пов'язаних з оцінкою загальних страхових резервів.</w:t>
            </w:r>
          </w:p>
          <w:p w:rsidR="000546E4" w:rsidRPr="00833CAE" w:rsidRDefault="00F81C64" w:rsidP="000546E4">
            <w:pPr>
              <w:widowControl w:val="0"/>
              <w:autoSpaceDE w:val="0"/>
              <w:autoSpaceDN w:val="0"/>
              <w:adjustRightInd w:val="0"/>
              <w:spacing w:line="266" w:lineRule="exact"/>
              <w:jc w:val="both"/>
              <w:rPr>
                <w:sz w:val="22"/>
                <w:szCs w:val="22"/>
                <w:lang w:val="uk-UA"/>
              </w:rPr>
            </w:pPr>
            <w:r w:rsidRPr="00833CAE">
              <w:rPr>
                <w:sz w:val="22"/>
                <w:szCs w:val="22"/>
                <w:lang w:val="uk-UA"/>
              </w:rPr>
              <w:t>У зв'язку з конкретними питаннями, викладеними вище, наші основні процедури тестування включали наступне</w:t>
            </w:r>
            <w:r w:rsidR="000546E4" w:rsidRPr="00833CAE">
              <w:rPr>
                <w:sz w:val="22"/>
                <w:szCs w:val="22"/>
                <w:lang w:val="uk-UA"/>
              </w:rPr>
              <w:t>:</w:t>
            </w:r>
          </w:p>
          <w:p w:rsidR="00F81C64" w:rsidRPr="00833CAE" w:rsidRDefault="00F81C64" w:rsidP="000546E4">
            <w:pPr>
              <w:widowControl w:val="0"/>
              <w:autoSpaceDE w:val="0"/>
              <w:autoSpaceDN w:val="0"/>
              <w:adjustRightInd w:val="0"/>
              <w:spacing w:line="266" w:lineRule="exact"/>
              <w:jc w:val="both"/>
              <w:rPr>
                <w:sz w:val="22"/>
                <w:szCs w:val="22"/>
                <w:lang w:val="uk-UA"/>
              </w:rPr>
            </w:pPr>
            <w:r w:rsidRPr="00833CAE">
              <w:rPr>
                <w:sz w:val="22"/>
                <w:szCs w:val="22"/>
                <w:lang w:val="uk-UA"/>
              </w:rPr>
              <w:t>- перевірено повноту та точність даних про загальні виплати, що використовуються актуаріями для оцінки резервів збитків;</w:t>
            </w:r>
          </w:p>
          <w:p w:rsidR="005F0CA6" w:rsidRPr="00833CAE" w:rsidRDefault="00F81C64" w:rsidP="005F0CA6">
            <w:pPr>
              <w:widowControl w:val="0"/>
              <w:autoSpaceDE w:val="0"/>
              <w:autoSpaceDN w:val="0"/>
              <w:adjustRightInd w:val="0"/>
              <w:spacing w:line="266" w:lineRule="exact"/>
              <w:jc w:val="both"/>
              <w:rPr>
                <w:sz w:val="22"/>
                <w:szCs w:val="22"/>
                <w:lang w:val="uk-UA"/>
              </w:rPr>
            </w:pPr>
            <w:r w:rsidRPr="00833CAE">
              <w:rPr>
                <w:sz w:val="22"/>
                <w:szCs w:val="22"/>
                <w:lang w:val="uk-UA"/>
              </w:rPr>
              <w:t xml:space="preserve">- перевірено відповідність </w:t>
            </w:r>
            <w:r w:rsidR="005F0CA6" w:rsidRPr="00833CAE">
              <w:rPr>
                <w:sz w:val="22"/>
                <w:szCs w:val="22"/>
                <w:lang w:val="uk-UA"/>
              </w:rPr>
              <w:t>кваліфікації осіб, що виконують актуарні розрахунки, вимогам, встановленим нормативно-правовими актами національної комісії, що здійснює регулювання у сфері фінансових послуг;</w:t>
            </w:r>
          </w:p>
          <w:p w:rsidR="000546E4" w:rsidRPr="00833CAE" w:rsidRDefault="005F0CA6" w:rsidP="005F0CA6">
            <w:pPr>
              <w:widowControl w:val="0"/>
              <w:autoSpaceDE w:val="0"/>
              <w:autoSpaceDN w:val="0"/>
              <w:adjustRightInd w:val="0"/>
              <w:spacing w:line="266" w:lineRule="exact"/>
              <w:jc w:val="both"/>
              <w:rPr>
                <w:sz w:val="22"/>
                <w:szCs w:val="22"/>
                <w:lang w:val="uk-UA"/>
              </w:rPr>
            </w:pPr>
            <w:r w:rsidRPr="00833CAE">
              <w:rPr>
                <w:sz w:val="22"/>
                <w:szCs w:val="22"/>
                <w:lang w:val="uk-UA"/>
              </w:rPr>
              <w:t xml:space="preserve">- виконано порівняння створених резервів збитків з </w:t>
            </w:r>
            <w:proofErr w:type="spellStart"/>
            <w:r w:rsidRPr="00833CAE">
              <w:rPr>
                <w:sz w:val="22"/>
                <w:szCs w:val="22"/>
                <w:lang w:val="uk-UA"/>
              </w:rPr>
              <w:t>актуарним</w:t>
            </w:r>
            <w:proofErr w:type="spellEnd"/>
            <w:r w:rsidRPr="00833CAE">
              <w:rPr>
                <w:sz w:val="22"/>
                <w:szCs w:val="22"/>
                <w:lang w:val="uk-UA"/>
              </w:rPr>
              <w:t xml:space="preserve"> звітом про оцінку адекватності страхових зобов’язань</w:t>
            </w:r>
            <w:r w:rsidR="00AD1CF8" w:rsidRPr="00833CAE">
              <w:rPr>
                <w:sz w:val="22"/>
                <w:szCs w:val="22"/>
                <w:lang w:val="uk-UA"/>
              </w:rPr>
              <w:t xml:space="preserve"> з метою визначення достатності сформованих страхових резервів</w:t>
            </w:r>
            <w:r w:rsidRPr="00833CAE">
              <w:rPr>
                <w:sz w:val="22"/>
                <w:szCs w:val="22"/>
                <w:lang w:val="uk-UA"/>
              </w:rPr>
              <w:t xml:space="preserve">. </w:t>
            </w:r>
          </w:p>
          <w:p w:rsidR="000B295C" w:rsidRPr="00833CAE" w:rsidRDefault="005F0CA6" w:rsidP="00AD1CF8">
            <w:pPr>
              <w:widowControl w:val="0"/>
              <w:autoSpaceDE w:val="0"/>
              <w:autoSpaceDN w:val="0"/>
              <w:adjustRightInd w:val="0"/>
              <w:spacing w:line="266" w:lineRule="exact"/>
              <w:jc w:val="both"/>
              <w:rPr>
                <w:sz w:val="22"/>
                <w:szCs w:val="22"/>
                <w:lang w:val="uk-UA"/>
              </w:rPr>
            </w:pPr>
            <w:r w:rsidRPr="00833CAE">
              <w:rPr>
                <w:sz w:val="22"/>
                <w:szCs w:val="22"/>
                <w:lang w:val="uk-UA"/>
              </w:rPr>
              <w:t>На основі виконаної роботи ми дійшли висновку, що використані методологі</w:t>
            </w:r>
            <w:r w:rsidR="003D29FA" w:rsidRPr="00833CAE">
              <w:rPr>
                <w:sz w:val="22"/>
                <w:szCs w:val="22"/>
                <w:lang w:val="uk-UA"/>
              </w:rPr>
              <w:t>ї</w:t>
            </w:r>
            <w:r w:rsidRPr="00833CAE">
              <w:rPr>
                <w:sz w:val="22"/>
                <w:szCs w:val="22"/>
                <w:lang w:val="uk-UA"/>
              </w:rPr>
              <w:t xml:space="preserve"> та припущення є </w:t>
            </w:r>
            <w:r w:rsidR="003D29FA" w:rsidRPr="00833CAE">
              <w:rPr>
                <w:sz w:val="22"/>
                <w:szCs w:val="22"/>
                <w:lang w:val="uk-UA"/>
              </w:rPr>
              <w:t>обґрунтованими</w:t>
            </w:r>
            <w:r w:rsidRPr="00833CAE">
              <w:rPr>
                <w:sz w:val="22"/>
                <w:szCs w:val="22"/>
                <w:lang w:val="uk-UA"/>
              </w:rPr>
              <w:t xml:space="preserve"> та відповідають нормативним вимогам та загально прийнятій практиці формування резервів у страхуванні</w:t>
            </w:r>
            <w:r w:rsidR="00AD1CF8" w:rsidRPr="00833CAE">
              <w:rPr>
                <w:sz w:val="22"/>
                <w:szCs w:val="22"/>
                <w:lang w:val="uk-UA"/>
              </w:rPr>
              <w:t>, а сформовані резерви збитків є достатніми та адекватними</w:t>
            </w:r>
            <w:r w:rsidRPr="00833CAE">
              <w:rPr>
                <w:sz w:val="22"/>
                <w:szCs w:val="22"/>
                <w:lang w:val="uk-UA"/>
              </w:rPr>
              <w:t>.</w:t>
            </w:r>
          </w:p>
        </w:tc>
      </w:tr>
    </w:tbl>
    <w:p w:rsidR="0017555D" w:rsidRPr="00833CAE" w:rsidRDefault="0017555D">
      <w:pPr>
        <w:rPr>
          <w:lang w:val="uk-UA"/>
        </w:rPr>
      </w:pPr>
    </w:p>
    <w:p w:rsidR="004728AF" w:rsidRPr="00833CAE" w:rsidRDefault="00833CAE" w:rsidP="003D7A7D">
      <w:pPr>
        <w:numPr>
          <w:ilvl w:val="0"/>
          <w:numId w:val="21"/>
        </w:numPr>
        <w:rPr>
          <w:lang w:val="uk-UA"/>
        </w:rPr>
      </w:pPr>
      <w:r w:rsidRPr="00833CAE">
        <w:rPr>
          <w:sz w:val="22"/>
          <w:szCs w:val="22"/>
          <w:lang w:val="uk-UA"/>
        </w:rPr>
        <w:t>Д</w:t>
      </w:r>
      <w:r w:rsidR="003D7A7D" w:rsidRPr="00833CAE">
        <w:rPr>
          <w:sz w:val="22"/>
          <w:szCs w:val="22"/>
          <w:lang w:val="uk-UA"/>
        </w:rPr>
        <w:t>отримання обов'язкових критеріїв і нормативів достатності капіталу та платоспроможності, ліквідності, прибутковості, якості активів та ризиковості операцій, додержання інших показників і вимог, що обмежують ризики за операціями з фінансовими активами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4728AF" w:rsidRPr="0017555D" w:rsidTr="00EC1B03">
        <w:tc>
          <w:tcPr>
            <w:tcW w:w="4785" w:type="dxa"/>
            <w:tcBorders>
              <w:top w:val="single" w:sz="4" w:space="0" w:color="auto"/>
              <w:left w:val="single" w:sz="4" w:space="0" w:color="auto"/>
              <w:bottom w:val="single" w:sz="4" w:space="0" w:color="auto"/>
              <w:right w:val="single" w:sz="4" w:space="0" w:color="auto"/>
            </w:tcBorders>
            <w:shd w:val="clear" w:color="auto" w:fill="auto"/>
          </w:tcPr>
          <w:p w:rsidR="004728AF" w:rsidRPr="009E14C6" w:rsidRDefault="004728AF" w:rsidP="00EC1B03">
            <w:pPr>
              <w:widowControl w:val="0"/>
              <w:autoSpaceDE w:val="0"/>
              <w:autoSpaceDN w:val="0"/>
              <w:adjustRightInd w:val="0"/>
              <w:spacing w:line="266" w:lineRule="exact"/>
              <w:jc w:val="both"/>
              <w:rPr>
                <w:sz w:val="22"/>
                <w:szCs w:val="22"/>
                <w:lang w:val="uk-UA"/>
              </w:rPr>
            </w:pPr>
            <w:r w:rsidRPr="009E14C6">
              <w:rPr>
                <w:sz w:val="22"/>
                <w:szCs w:val="22"/>
                <w:lang w:val="uk-UA"/>
              </w:rPr>
              <w:t>Ключове питання аудиту</w:t>
            </w:r>
          </w:p>
        </w:tc>
        <w:tc>
          <w:tcPr>
            <w:tcW w:w="4786" w:type="dxa"/>
            <w:tcBorders>
              <w:top w:val="single" w:sz="4" w:space="0" w:color="auto"/>
              <w:left w:val="single" w:sz="4" w:space="0" w:color="auto"/>
              <w:bottom w:val="single" w:sz="4" w:space="0" w:color="auto"/>
              <w:right w:val="single" w:sz="4" w:space="0" w:color="auto"/>
            </w:tcBorders>
            <w:shd w:val="clear" w:color="auto" w:fill="auto"/>
          </w:tcPr>
          <w:p w:rsidR="004728AF" w:rsidRPr="009E14C6" w:rsidRDefault="004728AF" w:rsidP="00EC1B03">
            <w:pPr>
              <w:widowControl w:val="0"/>
              <w:autoSpaceDE w:val="0"/>
              <w:autoSpaceDN w:val="0"/>
              <w:adjustRightInd w:val="0"/>
              <w:spacing w:line="266" w:lineRule="exact"/>
              <w:jc w:val="both"/>
              <w:rPr>
                <w:sz w:val="22"/>
                <w:szCs w:val="22"/>
                <w:lang w:val="uk-UA"/>
              </w:rPr>
            </w:pPr>
            <w:r w:rsidRPr="009E14C6">
              <w:rPr>
                <w:sz w:val="22"/>
                <w:szCs w:val="22"/>
                <w:lang w:val="uk-UA"/>
              </w:rPr>
              <w:t>Яким чином це питання розглянуто під час аудиту</w:t>
            </w:r>
          </w:p>
        </w:tc>
      </w:tr>
      <w:tr w:rsidR="004728AF" w:rsidRPr="00BC1693" w:rsidTr="00EC1B03">
        <w:tc>
          <w:tcPr>
            <w:tcW w:w="4785" w:type="dxa"/>
            <w:shd w:val="clear" w:color="auto" w:fill="auto"/>
          </w:tcPr>
          <w:p w:rsidR="004728AF" w:rsidRPr="00833CAE" w:rsidRDefault="009E14C6" w:rsidP="00833CAE">
            <w:pPr>
              <w:widowControl w:val="0"/>
              <w:autoSpaceDE w:val="0"/>
              <w:autoSpaceDN w:val="0"/>
              <w:adjustRightInd w:val="0"/>
              <w:spacing w:line="266" w:lineRule="exact"/>
              <w:jc w:val="both"/>
              <w:rPr>
                <w:sz w:val="22"/>
                <w:szCs w:val="22"/>
                <w:lang w:val="uk-UA"/>
              </w:rPr>
            </w:pPr>
            <w:r w:rsidRPr="00833CAE">
              <w:rPr>
                <w:sz w:val="22"/>
                <w:szCs w:val="22"/>
                <w:lang w:val="uk-UA"/>
              </w:rPr>
              <w:t>Забезпечення д</w:t>
            </w:r>
            <w:r w:rsidR="003D7A7D" w:rsidRPr="00833CAE">
              <w:rPr>
                <w:sz w:val="22"/>
                <w:szCs w:val="22"/>
                <w:lang w:val="uk-UA"/>
              </w:rPr>
              <w:t xml:space="preserve">отримання </w:t>
            </w:r>
            <w:r w:rsidRPr="00833CAE">
              <w:rPr>
                <w:sz w:val="22"/>
                <w:szCs w:val="22"/>
                <w:lang w:val="uk-UA"/>
              </w:rPr>
              <w:t>обов’язкових</w:t>
            </w:r>
            <w:r w:rsidR="003D7A7D" w:rsidRPr="00833CAE">
              <w:rPr>
                <w:sz w:val="22"/>
                <w:szCs w:val="22"/>
                <w:lang w:val="uk-UA"/>
              </w:rPr>
              <w:t xml:space="preserve"> критеріїв і нормативів страховиком, встановлених спеціальним законодавством з питань страхової діяльності </w:t>
            </w:r>
            <w:r w:rsidRPr="00833CAE">
              <w:rPr>
                <w:sz w:val="22"/>
                <w:szCs w:val="22"/>
                <w:lang w:val="uk-UA"/>
              </w:rPr>
              <w:t xml:space="preserve">включає необхідність запровадження системи </w:t>
            </w:r>
            <w:r w:rsidR="00F74D99" w:rsidRPr="00833CAE">
              <w:rPr>
                <w:sz w:val="22"/>
                <w:szCs w:val="22"/>
                <w:lang w:val="uk-UA"/>
              </w:rPr>
              <w:t>постійного</w:t>
            </w:r>
            <w:r w:rsidRPr="00833CAE">
              <w:rPr>
                <w:sz w:val="22"/>
                <w:szCs w:val="22"/>
                <w:lang w:val="uk-UA"/>
              </w:rPr>
              <w:t xml:space="preserve"> контролю над здійсненням розрахунків та аналіз</w:t>
            </w:r>
            <w:r w:rsidR="00F74D99" w:rsidRPr="00833CAE">
              <w:rPr>
                <w:sz w:val="22"/>
                <w:szCs w:val="22"/>
                <w:lang w:val="uk-UA"/>
              </w:rPr>
              <w:t>у</w:t>
            </w:r>
            <w:r w:rsidRPr="00833CAE">
              <w:rPr>
                <w:sz w:val="22"/>
                <w:szCs w:val="22"/>
                <w:lang w:val="uk-UA"/>
              </w:rPr>
              <w:t xml:space="preserve"> показників з метою оцінки їх відповідності та прийняття за необхідності управлінських рішень.</w:t>
            </w:r>
            <w:r w:rsidR="00F74D99" w:rsidRPr="00833CAE">
              <w:rPr>
                <w:sz w:val="22"/>
                <w:szCs w:val="22"/>
                <w:lang w:val="uk-UA"/>
              </w:rPr>
              <w:t xml:space="preserve"> </w:t>
            </w:r>
            <w:r w:rsidR="00F74D99" w:rsidRPr="00833CAE">
              <w:rPr>
                <w:sz w:val="22"/>
                <w:szCs w:val="22"/>
                <w:lang w:val="uk-UA"/>
              </w:rPr>
              <w:lastRenderedPageBreak/>
              <w:t xml:space="preserve">Дотримання обов’язкових критеріїв і нормативів є передумовою здійснення страхової діяльності, а недотримання може призвести до проблем безперервності діяльності. Товариство </w:t>
            </w:r>
            <w:r w:rsidR="00833CAE" w:rsidRPr="00833CAE">
              <w:rPr>
                <w:sz w:val="22"/>
                <w:szCs w:val="22"/>
                <w:lang w:val="uk-UA"/>
              </w:rPr>
              <w:t>зобов’язане</w:t>
            </w:r>
            <w:r w:rsidR="00F74D99" w:rsidRPr="00833CAE">
              <w:rPr>
                <w:sz w:val="22"/>
                <w:szCs w:val="22"/>
                <w:lang w:val="uk-UA"/>
              </w:rPr>
              <w:t xml:space="preserve"> </w:t>
            </w:r>
            <w:r w:rsidR="00833CAE" w:rsidRPr="00833CAE">
              <w:rPr>
                <w:sz w:val="22"/>
                <w:szCs w:val="22"/>
                <w:lang w:val="uk-UA"/>
              </w:rPr>
              <w:t>на будь-яку дату дотримуватись нормативів достатності та диверсифікованості активів.</w:t>
            </w:r>
          </w:p>
        </w:tc>
        <w:tc>
          <w:tcPr>
            <w:tcW w:w="4786" w:type="dxa"/>
            <w:shd w:val="clear" w:color="auto" w:fill="auto"/>
          </w:tcPr>
          <w:p w:rsidR="004728AF" w:rsidRPr="00833CAE" w:rsidRDefault="009E14C6" w:rsidP="00BC1693">
            <w:pPr>
              <w:widowControl w:val="0"/>
              <w:autoSpaceDE w:val="0"/>
              <w:autoSpaceDN w:val="0"/>
              <w:adjustRightInd w:val="0"/>
              <w:spacing w:line="266" w:lineRule="exact"/>
              <w:jc w:val="both"/>
              <w:rPr>
                <w:sz w:val="22"/>
                <w:szCs w:val="22"/>
                <w:lang w:val="uk-UA"/>
              </w:rPr>
            </w:pPr>
            <w:r w:rsidRPr="00833CAE">
              <w:rPr>
                <w:sz w:val="22"/>
                <w:szCs w:val="22"/>
                <w:lang w:val="uk-UA"/>
              </w:rPr>
              <w:lastRenderedPageBreak/>
              <w:t xml:space="preserve">Ми розглянули </w:t>
            </w:r>
            <w:r w:rsidR="00F74D99" w:rsidRPr="00833CAE">
              <w:rPr>
                <w:sz w:val="22"/>
                <w:szCs w:val="22"/>
                <w:lang w:val="uk-UA"/>
              </w:rPr>
              <w:t>процедури</w:t>
            </w:r>
            <w:r w:rsidRPr="00833CAE">
              <w:rPr>
                <w:sz w:val="22"/>
                <w:szCs w:val="22"/>
                <w:lang w:val="uk-UA"/>
              </w:rPr>
              <w:t xml:space="preserve"> внутрішнього контролю, </w:t>
            </w:r>
            <w:r w:rsidR="00F74D99" w:rsidRPr="00833CAE">
              <w:rPr>
                <w:sz w:val="22"/>
                <w:szCs w:val="22"/>
                <w:lang w:val="uk-UA"/>
              </w:rPr>
              <w:t>пов’язаного</w:t>
            </w:r>
            <w:r w:rsidRPr="00833CAE">
              <w:rPr>
                <w:sz w:val="22"/>
                <w:szCs w:val="22"/>
                <w:lang w:val="uk-UA"/>
              </w:rPr>
              <w:t xml:space="preserve"> із забезпеченням </w:t>
            </w:r>
            <w:r w:rsidR="00F74D99" w:rsidRPr="00833CAE">
              <w:rPr>
                <w:sz w:val="22"/>
                <w:szCs w:val="22"/>
                <w:lang w:val="uk-UA"/>
              </w:rPr>
              <w:t xml:space="preserve">правильності розрахунків, контролем дотримання нормативів, </w:t>
            </w:r>
            <w:r w:rsidRPr="00833CAE">
              <w:rPr>
                <w:sz w:val="22"/>
                <w:szCs w:val="22"/>
                <w:lang w:val="uk-UA"/>
              </w:rPr>
              <w:t xml:space="preserve">періодичного аналізу результатів діяльності, стану активів та </w:t>
            </w:r>
            <w:r w:rsidR="00F74D99" w:rsidRPr="00833CAE">
              <w:rPr>
                <w:sz w:val="22"/>
                <w:szCs w:val="22"/>
                <w:lang w:val="uk-UA"/>
              </w:rPr>
              <w:t>зобов’язань</w:t>
            </w:r>
            <w:r w:rsidRPr="00833CAE">
              <w:rPr>
                <w:sz w:val="22"/>
                <w:szCs w:val="22"/>
                <w:lang w:val="uk-UA"/>
              </w:rPr>
              <w:t xml:space="preserve"> Товариства.</w:t>
            </w:r>
          </w:p>
          <w:p w:rsidR="00F74D99" w:rsidRPr="00833CAE" w:rsidRDefault="00F74D99" w:rsidP="00BC1693">
            <w:pPr>
              <w:widowControl w:val="0"/>
              <w:autoSpaceDE w:val="0"/>
              <w:autoSpaceDN w:val="0"/>
              <w:adjustRightInd w:val="0"/>
              <w:spacing w:line="266" w:lineRule="exact"/>
              <w:jc w:val="both"/>
              <w:rPr>
                <w:sz w:val="22"/>
                <w:szCs w:val="22"/>
                <w:lang w:val="uk-UA"/>
              </w:rPr>
            </w:pPr>
            <w:r w:rsidRPr="00833CAE">
              <w:rPr>
                <w:sz w:val="22"/>
                <w:szCs w:val="22"/>
                <w:lang w:val="uk-UA"/>
              </w:rPr>
              <w:t xml:space="preserve">На підставі даних бухгалтерського обліку та фінансової звітності ми виконали розрахунки на кінець звітного періоду та перевірили </w:t>
            </w:r>
            <w:r w:rsidRPr="00833CAE">
              <w:rPr>
                <w:sz w:val="22"/>
                <w:szCs w:val="22"/>
                <w:lang w:val="uk-UA"/>
              </w:rPr>
              <w:lastRenderedPageBreak/>
              <w:t xml:space="preserve">дотримання нормативу достатності активів, нормативу диверсифікації активів, </w:t>
            </w:r>
            <w:r w:rsidR="00833CAE" w:rsidRPr="00833CAE">
              <w:rPr>
                <w:sz w:val="22"/>
                <w:szCs w:val="22"/>
                <w:lang w:val="uk-UA"/>
              </w:rPr>
              <w:t>розрахунок суми прийнятних активів, розміщення страхових резервів, фактичний та нормативний запас платоспроможності.</w:t>
            </w:r>
          </w:p>
          <w:p w:rsidR="009E14C6" w:rsidRPr="00833CAE" w:rsidRDefault="009E14C6" w:rsidP="007F0218">
            <w:pPr>
              <w:widowControl w:val="0"/>
              <w:autoSpaceDE w:val="0"/>
              <w:autoSpaceDN w:val="0"/>
              <w:adjustRightInd w:val="0"/>
              <w:spacing w:line="266" w:lineRule="exact"/>
              <w:jc w:val="both"/>
              <w:rPr>
                <w:sz w:val="22"/>
                <w:szCs w:val="22"/>
                <w:lang w:val="uk-UA"/>
              </w:rPr>
            </w:pPr>
            <w:r w:rsidRPr="00833CAE">
              <w:rPr>
                <w:sz w:val="22"/>
                <w:szCs w:val="22"/>
                <w:lang w:val="uk-UA"/>
              </w:rPr>
              <w:t>На основі нашої роботи ми дійшли висновку, що на кінець звітного періоду Товариством дот</w:t>
            </w:r>
            <w:r w:rsidR="007F0218" w:rsidRPr="00833CAE">
              <w:rPr>
                <w:sz w:val="22"/>
                <w:szCs w:val="22"/>
                <w:lang w:val="uk-UA"/>
              </w:rPr>
              <w:t>р</w:t>
            </w:r>
            <w:r w:rsidRPr="00833CAE">
              <w:rPr>
                <w:sz w:val="22"/>
                <w:szCs w:val="22"/>
                <w:lang w:val="uk-UA"/>
              </w:rPr>
              <w:t>иман</w:t>
            </w:r>
            <w:r w:rsidR="007F0218" w:rsidRPr="00833CAE">
              <w:rPr>
                <w:sz w:val="22"/>
                <w:szCs w:val="22"/>
                <w:lang w:val="uk-UA"/>
              </w:rPr>
              <w:t>і</w:t>
            </w:r>
            <w:r w:rsidRPr="00833CAE">
              <w:rPr>
                <w:sz w:val="22"/>
                <w:szCs w:val="22"/>
                <w:lang w:val="uk-UA"/>
              </w:rPr>
              <w:t xml:space="preserve"> нормативи достатності та диверсифікації активів</w:t>
            </w:r>
            <w:r w:rsidR="007F0218" w:rsidRPr="00833CAE">
              <w:rPr>
                <w:sz w:val="22"/>
                <w:szCs w:val="22"/>
                <w:lang w:val="uk-UA"/>
              </w:rPr>
              <w:t>. Більш докладно це питання розкрито у розділі нашого звіту "</w:t>
            </w:r>
            <w:r w:rsidR="007F0218" w:rsidRPr="00833CAE">
              <w:t xml:space="preserve"> </w:t>
            </w:r>
            <w:r w:rsidR="007F0218" w:rsidRPr="00833CAE">
              <w:rPr>
                <w:sz w:val="22"/>
                <w:szCs w:val="22"/>
                <w:lang w:val="uk-UA"/>
              </w:rPr>
              <w:t>Звіт щодо вимог інших законодавчих і нормативних актів"</w:t>
            </w:r>
          </w:p>
        </w:tc>
      </w:tr>
    </w:tbl>
    <w:p w:rsidR="00AD1CF8" w:rsidRDefault="00AD1CF8" w:rsidP="00C87115">
      <w:pPr>
        <w:widowControl w:val="0"/>
        <w:autoSpaceDE w:val="0"/>
        <w:autoSpaceDN w:val="0"/>
        <w:adjustRightInd w:val="0"/>
        <w:spacing w:line="266" w:lineRule="exact"/>
        <w:jc w:val="center"/>
        <w:rPr>
          <w:b/>
          <w:i/>
          <w:sz w:val="22"/>
          <w:szCs w:val="22"/>
          <w:lang w:val="uk-UA"/>
        </w:rPr>
      </w:pPr>
    </w:p>
    <w:p w:rsidR="00C87115" w:rsidRPr="00CD0CFA" w:rsidRDefault="00C87115" w:rsidP="00C87115">
      <w:pPr>
        <w:widowControl w:val="0"/>
        <w:autoSpaceDE w:val="0"/>
        <w:autoSpaceDN w:val="0"/>
        <w:adjustRightInd w:val="0"/>
        <w:spacing w:line="266" w:lineRule="exact"/>
        <w:jc w:val="center"/>
        <w:rPr>
          <w:b/>
          <w:i/>
          <w:sz w:val="22"/>
          <w:szCs w:val="22"/>
          <w:lang w:val="uk-UA"/>
        </w:rPr>
      </w:pPr>
      <w:r w:rsidRPr="00CD0CFA">
        <w:rPr>
          <w:b/>
          <w:i/>
          <w:sz w:val="22"/>
          <w:szCs w:val="22"/>
          <w:lang w:val="uk-UA"/>
        </w:rPr>
        <w:t>Інша інформація у річному звіті</w:t>
      </w:r>
    </w:p>
    <w:p w:rsidR="00C87115" w:rsidRPr="001B28FE" w:rsidRDefault="00C87115" w:rsidP="00772734">
      <w:pPr>
        <w:widowControl w:val="0"/>
        <w:autoSpaceDE w:val="0"/>
        <w:autoSpaceDN w:val="0"/>
        <w:adjustRightInd w:val="0"/>
        <w:spacing w:after="120"/>
        <w:jc w:val="both"/>
        <w:rPr>
          <w:sz w:val="22"/>
          <w:szCs w:val="22"/>
          <w:highlight w:val="yellow"/>
          <w:lang w:val="uk-UA"/>
        </w:rPr>
      </w:pPr>
      <w:r w:rsidRPr="00772734">
        <w:rPr>
          <w:sz w:val="22"/>
          <w:szCs w:val="22"/>
          <w:lang w:val="uk-UA"/>
        </w:rPr>
        <w:t xml:space="preserve">Управлінський персонал </w:t>
      </w:r>
      <w:r w:rsidR="00152DE4" w:rsidRPr="00772734">
        <w:rPr>
          <w:sz w:val="22"/>
          <w:szCs w:val="22"/>
          <w:lang w:val="uk-UA"/>
        </w:rPr>
        <w:t>Товариства</w:t>
      </w:r>
      <w:r w:rsidRPr="00772734">
        <w:rPr>
          <w:sz w:val="22"/>
          <w:szCs w:val="22"/>
          <w:lang w:val="uk-UA"/>
        </w:rPr>
        <w:t xml:space="preserve"> несе відповідальність за іншу інформацію у річному звіті</w:t>
      </w:r>
      <w:r w:rsidR="00772734" w:rsidRPr="00772734">
        <w:rPr>
          <w:sz w:val="22"/>
          <w:szCs w:val="22"/>
          <w:lang w:val="uk-UA"/>
        </w:rPr>
        <w:t xml:space="preserve"> (Річна інформація емітента цінних паперів)</w:t>
      </w:r>
      <w:r w:rsidR="00CD0CFA" w:rsidRPr="00772734">
        <w:rPr>
          <w:sz w:val="22"/>
          <w:szCs w:val="22"/>
          <w:lang w:val="uk-UA"/>
        </w:rPr>
        <w:t xml:space="preserve">, що подається до </w:t>
      </w:r>
      <w:r w:rsidR="00772734" w:rsidRPr="00772734">
        <w:rPr>
          <w:sz w:val="22"/>
          <w:szCs w:val="22"/>
          <w:lang w:val="uk-UA"/>
        </w:rPr>
        <w:t>Національної комісії з цінних паперів та фондового ринку</w:t>
      </w:r>
      <w:r w:rsidR="00CD0CFA" w:rsidRPr="00772734">
        <w:rPr>
          <w:sz w:val="22"/>
          <w:szCs w:val="22"/>
          <w:lang w:val="uk-UA"/>
        </w:rPr>
        <w:t xml:space="preserve"> відповідно до "</w:t>
      </w:r>
      <w:r w:rsidR="00772734" w:rsidRPr="00772734">
        <w:rPr>
          <w:sz w:val="22"/>
          <w:szCs w:val="22"/>
          <w:lang w:val="uk-UA"/>
        </w:rPr>
        <w:t>Положення про розкриття</w:t>
      </w:r>
      <w:r w:rsidR="00772734">
        <w:rPr>
          <w:sz w:val="22"/>
          <w:szCs w:val="22"/>
          <w:lang w:val="uk-UA"/>
        </w:rPr>
        <w:t xml:space="preserve"> </w:t>
      </w:r>
      <w:r w:rsidR="00772734" w:rsidRPr="00772734">
        <w:rPr>
          <w:sz w:val="22"/>
          <w:szCs w:val="22"/>
          <w:lang w:val="uk-UA"/>
        </w:rPr>
        <w:t>інформації емітентами цінних паперів</w:t>
      </w:r>
      <w:r w:rsidR="00CD0CFA" w:rsidRPr="00772734">
        <w:rPr>
          <w:sz w:val="22"/>
          <w:szCs w:val="22"/>
          <w:lang w:val="uk-UA"/>
        </w:rPr>
        <w:t>"</w:t>
      </w:r>
      <w:r w:rsidR="00772734">
        <w:rPr>
          <w:sz w:val="22"/>
          <w:szCs w:val="22"/>
          <w:lang w:val="uk-UA"/>
        </w:rPr>
        <w:t xml:space="preserve">, затвердженого Рішенням </w:t>
      </w:r>
      <w:r w:rsidR="00772734" w:rsidRPr="00772734">
        <w:rPr>
          <w:sz w:val="22"/>
          <w:szCs w:val="22"/>
          <w:lang w:val="uk-UA"/>
        </w:rPr>
        <w:t>Національної комісії з цінних паперів та фондового ринку</w:t>
      </w:r>
      <w:r w:rsidR="00772734">
        <w:rPr>
          <w:sz w:val="22"/>
          <w:szCs w:val="22"/>
          <w:lang w:val="uk-UA"/>
        </w:rPr>
        <w:t xml:space="preserve"> від </w:t>
      </w:r>
      <w:r w:rsidR="00772734" w:rsidRPr="00772734">
        <w:rPr>
          <w:sz w:val="22"/>
          <w:szCs w:val="22"/>
          <w:lang w:val="uk-UA"/>
        </w:rPr>
        <w:t>03.12.2013 № 2826</w:t>
      </w:r>
      <w:r w:rsidRPr="00772734">
        <w:rPr>
          <w:sz w:val="22"/>
          <w:szCs w:val="22"/>
          <w:lang w:val="uk-UA"/>
        </w:rPr>
        <w:t>.</w:t>
      </w:r>
      <w:r w:rsidRPr="00772734">
        <w:rPr>
          <w:color w:val="FF0000"/>
          <w:sz w:val="22"/>
          <w:szCs w:val="22"/>
          <w:lang w:val="uk-UA"/>
        </w:rPr>
        <w:t xml:space="preserve"> </w:t>
      </w:r>
      <w:r w:rsidRPr="00772734">
        <w:rPr>
          <w:sz w:val="22"/>
          <w:szCs w:val="22"/>
          <w:lang w:val="uk-UA"/>
        </w:rPr>
        <w:t xml:space="preserve">Інша інформація </w:t>
      </w:r>
      <w:r w:rsidR="00A90A15" w:rsidRPr="00772734">
        <w:rPr>
          <w:sz w:val="22"/>
          <w:szCs w:val="22"/>
          <w:lang w:val="uk-UA"/>
        </w:rPr>
        <w:t xml:space="preserve">складається з всієї </w:t>
      </w:r>
      <w:r w:rsidR="00BB3B30" w:rsidRPr="00772734">
        <w:rPr>
          <w:sz w:val="22"/>
          <w:szCs w:val="22"/>
          <w:lang w:val="uk-UA"/>
        </w:rPr>
        <w:t>інформаці</w:t>
      </w:r>
      <w:r w:rsidR="00A90A15" w:rsidRPr="00772734">
        <w:rPr>
          <w:sz w:val="22"/>
          <w:szCs w:val="22"/>
          <w:lang w:val="uk-UA"/>
        </w:rPr>
        <w:t>ї</w:t>
      </w:r>
      <w:r w:rsidR="00BB3B30" w:rsidRPr="00772734">
        <w:rPr>
          <w:sz w:val="22"/>
          <w:szCs w:val="22"/>
          <w:lang w:val="uk-UA"/>
        </w:rPr>
        <w:t>, наведен</w:t>
      </w:r>
      <w:r w:rsidR="00A90A15" w:rsidRPr="00772734">
        <w:rPr>
          <w:sz w:val="22"/>
          <w:szCs w:val="22"/>
          <w:lang w:val="uk-UA"/>
        </w:rPr>
        <w:t>ої</w:t>
      </w:r>
      <w:r w:rsidR="00BB3B30" w:rsidRPr="00772734">
        <w:rPr>
          <w:sz w:val="22"/>
          <w:szCs w:val="22"/>
          <w:lang w:val="uk-UA"/>
        </w:rPr>
        <w:t xml:space="preserve"> у річному звіті, але не включає фінансову звітність та наш аудиторський звіт щодо неї.</w:t>
      </w:r>
      <w:r w:rsidR="00772734" w:rsidRPr="00772734">
        <w:rPr>
          <w:sz w:val="22"/>
          <w:szCs w:val="22"/>
          <w:lang w:val="uk-UA"/>
        </w:rPr>
        <w:t xml:space="preserve"> </w:t>
      </w:r>
    </w:p>
    <w:p w:rsidR="00BB3B30" w:rsidRPr="006C4195" w:rsidRDefault="00A90A15" w:rsidP="00F1031B">
      <w:pPr>
        <w:widowControl w:val="0"/>
        <w:autoSpaceDE w:val="0"/>
        <w:autoSpaceDN w:val="0"/>
        <w:adjustRightInd w:val="0"/>
        <w:spacing w:after="120"/>
        <w:jc w:val="both"/>
        <w:rPr>
          <w:sz w:val="22"/>
          <w:szCs w:val="22"/>
          <w:lang w:val="uk-UA"/>
        </w:rPr>
      </w:pPr>
      <w:r w:rsidRPr="006C4195">
        <w:rPr>
          <w:sz w:val="22"/>
          <w:szCs w:val="22"/>
          <w:lang w:val="uk-UA"/>
        </w:rPr>
        <w:t>Наша думка щодо фінансової звітності не поширюється на іншу інформацію та ми не робимо висновок з будь-яким рівнем впевненості щодо цієї іншої інформації.</w:t>
      </w:r>
    </w:p>
    <w:p w:rsidR="00CD0CFA" w:rsidRDefault="00A90A15" w:rsidP="00F1031B">
      <w:pPr>
        <w:widowControl w:val="0"/>
        <w:autoSpaceDE w:val="0"/>
        <w:autoSpaceDN w:val="0"/>
        <w:adjustRightInd w:val="0"/>
        <w:spacing w:after="120"/>
        <w:jc w:val="both"/>
        <w:rPr>
          <w:color w:val="FF0000"/>
          <w:sz w:val="22"/>
          <w:szCs w:val="22"/>
          <w:lang w:val="uk-UA"/>
        </w:rPr>
      </w:pPr>
      <w:r w:rsidRPr="006C4195">
        <w:rPr>
          <w:sz w:val="22"/>
          <w:szCs w:val="22"/>
          <w:lang w:val="uk-UA"/>
        </w:rPr>
        <w:t>У зв’язку з нашим аудитом фінансової звітності нашою відповідальністю є ознайомитися з іншою інформацією та при цьому розглянути, чи існує суттєва невідповідність між іншою інформацією і фінансовою звітністю або нашими знаннями, отриманими під час аудиту, або чи ця інша інформація виглядає такою, що містить суттєве викривлення. Якщо на основі проведеної нами роботи ми доходимо висновку, що існує суттєве викривлення цієї іншої інформації, ми зобов’язані повідомити про цей факт.</w:t>
      </w:r>
      <w:r w:rsidRPr="006C4195">
        <w:rPr>
          <w:color w:val="FF0000"/>
          <w:sz w:val="22"/>
          <w:szCs w:val="22"/>
          <w:lang w:val="uk-UA"/>
        </w:rPr>
        <w:t xml:space="preserve"> </w:t>
      </w:r>
    </w:p>
    <w:p w:rsidR="005F1244" w:rsidRPr="009703AA" w:rsidRDefault="00002997" w:rsidP="00F1031B">
      <w:pPr>
        <w:widowControl w:val="0"/>
        <w:autoSpaceDE w:val="0"/>
        <w:autoSpaceDN w:val="0"/>
        <w:adjustRightInd w:val="0"/>
        <w:spacing w:after="120"/>
        <w:jc w:val="both"/>
        <w:rPr>
          <w:sz w:val="22"/>
          <w:szCs w:val="22"/>
          <w:lang w:val="uk-UA"/>
        </w:rPr>
      </w:pPr>
      <w:r w:rsidRPr="00002997">
        <w:rPr>
          <w:sz w:val="22"/>
          <w:szCs w:val="22"/>
          <w:lang w:val="uk-UA"/>
        </w:rPr>
        <w:t>Ми не виявили таких фактів, які потрібно було б включити до звіту</w:t>
      </w:r>
      <w:bookmarkStart w:id="0" w:name="_GoBack"/>
      <w:bookmarkEnd w:id="0"/>
      <w:r w:rsidR="000F30C4" w:rsidRPr="009703AA">
        <w:rPr>
          <w:sz w:val="22"/>
          <w:szCs w:val="22"/>
          <w:lang w:val="uk-UA"/>
        </w:rPr>
        <w:t xml:space="preserve">. </w:t>
      </w:r>
    </w:p>
    <w:p w:rsidR="003C1B40" w:rsidRPr="003A1122" w:rsidRDefault="003C1B40" w:rsidP="00E1344F">
      <w:pPr>
        <w:spacing w:after="120"/>
        <w:ind w:right="-187"/>
        <w:contextualSpacing/>
        <w:jc w:val="center"/>
        <w:rPr>
          <w:b/>
          <w:i/>
          <w:sz w:val="24"/>
          <w:szCs w:val="22"/>
          <w:lang w:val="uk-UA"/>
        </w:rPr>
      </w:pPr>
      <w:r w:rsidRPr="003A1122">
        <w:rPr>
          <w:b/>
          <w:i/>
          <w:sz w:val="24"/>
          <w:szCs w:val="22"/>
          <w:lang w:val="uk-UA"/>
        </w:rPr>
        <w:t>Відповідальність управлінського персоналу</w:t>
      </w:r>
      <w:r w:rsidR="007E51EB" w:rsidRPr="003A1122">
        <w:rPr>
          <w:b/>
          <w:i/>
          <w:sz w:val="24"/>
          <w:szCs w:val="22"/>
          <w:lang w:val="uk-UA"/>
        </w:rPr>
        <w:t xml:space="preserve"> </w:t>
      </w:r>
      <w:r w:rsidR="004A4650" w:rsidRPr="004A4650">
        <w:rPr>
          <w:b/>
          <w:i/>
          <w:sz w:val="24"/>
          <w:szCs w:val="22"/>
          <w:lang w:val="uk-UA"/>
        </w:rPr>
        <w:t xml:space="preserve">та тих, кого наділено найвищими повноваженнями, за фінансову звітність </w:t>
      </w:r>
    </w:p>
    <w:p w:rsidR="002568E6" w:rsidRDefault="002568E6" w:rsidP="002568E6">
      <w:pPr>
        <w:spacing w:after="120"/>
        <w:jc w:val="both"/>
        <w:rPr>
          <w:sz w:val="22"/>
          <w:szCs w:val="22"/>
          <w:lang w:val="uk-UA"/>
        </w:rPr>
      </w:pPr>
      <w:r w:rsidRPr="00BC1693">
        <w:rPr>
          <w:sz w:val="22"/>
          <w:szCs w:val="22"/>
          <w:lang w:val="uk-UA"/>
        </w:rPr>
        <w:t xml:space="preserve">Управлінський персонал несе відповідальність за складання і достовірне подання цієї фінансової звітності відповідно до Закону України "Про бухгалтерський облік та фінансову звітність в Україні", </w:t>
      </w:r>
      <w:r w:rsidR="00FC755A" w:rsidRPr="00BC1693">
        <w:rPr>
          <w:sz w:val="22"/>
          <w:szCs w:val="24"/>
          <w:lang w:val="uk-UA"/>
        </w:rPr>
        <w:t>Міжнародних стандартів фінансової звітності</w:t>
      </w:r>
      <w:r w:rsidR="00FC755A" w:rsidRPr="00BC1693">
        <w:rPr>
          <w:sz w:val="22"/>
          <w:szCs w:val="22"/>
          <w:lang w:val="uk-UA"/>
        </w:rPr>
        <w:t xml:space="preserve"> </w:t>
      </w:r>
      <w:r w:rsidR="000F2BA9" w:rsidRPr="00BC1693">
        <w:rPr>
          <w:sz w:val="22"/>
          <w:szCs w:val="22"/>
          <w:lang w:val="uk-UA"/>
        </w:rPr>
        <w:t xml:space="preserve">(далі – </w:t>
      </w:r>
      <w:r w:rsidR="00FC755A" w:rsidRPr="00BC1693">
        <w:rPr>
          <w:sz w:val="22"/>
          <w:szCs w:val="22"/>
          <w:lang w:val="uk-UA"/>
        </w:rPr>
        <w:t>МСФЗ</w:t>
      </w:r>
      <w:r w:rsidR="000F2BA9" w:rsidRPr="00BC1693">
        <w:rPr>
          <w:sz w:val="22"/>
          <w:szCs w:val="22"/>
          <w:lang w:val="uk-UA"/>
        </w:rPr>
        <w:t>)</w:t>
      </w:r>
      <w:r w:rsidR="00F76639" w:rsidRPr="00BC1693">
        <w:rPr>
          <w:sz w:val="22"/>
          <w:szCs w:val="22"/>
          <w:lang w:val="uk-UA"/>
        </w:rPr>
        <w:t xml:space="preserve">, </w:t>
      </w:r>
      <w:r w:rsidRPr="00BC1693">
        <w:rPr>
          <w:sz w:val="22"/>
          <w:szCs w:val="22"/>
          <w:lang w:val="uk-UA"/>
        </w:rPr>
        <w:t xml:space="preserve">та за </w:t>
      </w:r>
      <w:r w:rsidR="00F76639" w:rsidRPr="00BC1693">
        <w:rPr>
          <w:sz w:val="22"/>
          <w:szCs w:val="22"/>
          <w:lang w:val="uk-UA"/>
        </w:rPr>
        <w:t>таку систему внутрішнього контролю, яку управлінський персонал визначає потрібною для того, щоб забезпечити складання фінансової звітності, що не містить суттєвих викривлень внаслідок</w:t>
      </w:r>
      <w:r w:rsidR="00F76639" w:rsidRPr="00F76639">
        <w:rPr>
          <w:sz w:val="22"/>
          <w:szCs w:val="22"/>
          <w:lang w:val="uk-UA"/>
        </w:rPr>
        <w:t xml:space="preserve"> шахрайства або помилки</w:t>
      </w:r>
      <w:r>
        <w:rPr>
          <w:sz w:val="22"/>
          <w:szCs w:val="22"/>
          <w:lang w:val="uk-UA"/>
        </w:rPr>
        <w:t>.</w:t>
      </w:r>
    </w:p>
    <w:p w:rsidR="00F76639" w:rsidRPr="00F76639" w:rsidRDefault="00F76639" w:rsidP="00F76639">
      <w:pPr>
        <w:spacing w:after="120"/>
        <w:jc w:val="both"/>
        <w:rPr>
          <w:sz w:val="22"/>
          <w:szCs w:val="22"/>
          <w:lang w:val="uk-UA"/>
        </w:rPr>
      </w:pPr>
      <w:r w:rsidRPr="00F76639">
        <w:rPr>
          <w:sz w:val="22"/>
          <w:szCs w:val="22"/>
          <w:lang w:val="uk-UA"/>
        </w:rPr>
        <w:t xml:space="preserve">При складанні фінансової звітності управлінський персонал несе відповідальність за оцінку здатності </w:t>
      </w:r>
      <w:r>
        <w:rPr>
          <w:sz w:val="22"/>
          <w:szCs w:val="22"/>
          <w:lang w:val="uk-UA"/>
        </w:rPr>
        <w:t>Товариства</w:t>
      </w:r>
      <w:r w:rsidRPr="00F76639">
        <w:rPr>
          <w:sz w:val="22"/>
          <w:szCs w:val="22"/>
          <w:lang w:val="uk-UA"/>
        </w:rPr>
        <w:t xml:space="preserve"> продовжувати свою діяльність на безперервній основі, розкриваючи, де це застосовне, питання, що стосуються безперервності діяльності, та використовуючи припущення про безперервність діяльності як основи для бухгалтерського обліку, крім випадків, якщо управлінський персонал або планує ліквідувати </w:t>
      </w:r>
      <w:r>
        <w:rPr>
          <w:sz w:val="22"/>
          <w:szCs w:val="22"/>
          <w:lang w:val="uk-UA"/>
        </w:rPr>
        <w:t>Товариство</w:t>
      </w:r>
      <w:r w:rsidRPr="00F76639">
        <w:rPr>
          <w:sz w:val="22"/>
          <w:szCs w:val="22"/>
          <w:lang w:val="uk-UA"/>
        </w:rPr>
        <w:t xml:space="preserve"> чи припинити діяльність, або не має інших реальних альтернатив цьому. </w:t>
      </w:r>
    </w:p>
    <w:p w:rsidR="00F76639" w:rsidRPr="00E1344F" w:rsidRDefault="00F76639" w:rsidP="00F76639">
      <w:pPr>
        <w:spacing w:after="120"/>
        <w:jc w:val="both"/>
        <w:rPr>
          <w:sz w:val="22"/>
          <w:szCs w:val="22"/>
          <w:lang w:val="uk-UA"/>
        </w:rPr>
      </w:pPr>
      <w:r w:rsidRPr="00F76639">
        <w:rPr>
          <w:sz w:val="22"/>
          <w:szCs w:val="22"/>
          <w:lang w:val="uk-UA"/>
        </w:rPr>
        <w:t>Ті, кого наділено найвищими повноваженнями, несуть відповідальність за нагляд за процесом фінансового звітування Компанії.</w:t>
      </w:r>
    </w:p>
    <w:p w:rsidR="00F76639" w:rsidRDefault="00F76639" w:rsidP="00F76639">
      <w:pPr>
        <w:spacing w:after="120"/>
        <w:jc w:val="center"/>
        <w:rPr>
          <w:b/>
          <w:i/>
          <w:sz w:val="24"/>
          <w:szCs w:val="22"/>
          <w:lang w:val="uk-UA"/>
        </w:rPr>
      </w:pPr>
      <w:r w:rsidRPr="00F76639">
        <w:rPr>
          <w:b/>
          <w:i/>
          <w:sz w:val="24"/>
          <w:szCs w:val="22"/>
          <w:lang w:val="uk-UA"/>
        </w:rPr>
        <w:t>Відповідальність аудитора за аудит фінансової звітності</w:t>
      </w:r>
    </w:p>
    <w:p w:rsidR="00F76639" w:rsidRDefault="00F76639" w:rsidP="00681A1E">
      <w:pPr>
        <w:spacing w:after="120"/>
        <w:jc w:val="both"/>
        <w:rPr>
          <w:sz w:val="22"/>
          <w:szCs w:val="22"/>
          <w:lang w:val="uk-UA"/>
        </w:rPr>
      </w:pPr>
      <w:r w:rsidRPr="00F76639">
        <w:rPr>
          <w:sz w:val="22"/>
          <w:szCs w:val="22"/>
          <w:lang w:val="uk-UA"/>
        </w:rPr>
        <w:t xml:space="preserve">Нашими цілями є отримання обґрунтованої впевненості, що фінансова звітність у цілому не містить суттєвого викривлення внаслідок шахрайства або помилки, та випуск звіту аудитора, що містить нашу думку. Обґрунтована впевненість є високим рівнем впевненості, проте не гарантує, що аудит, проведений відповідно до Міжнародних стандартів аудиту (МСА) завжди виявить суттєве викривлення, якщо воно існує. Викривлення можуть бути результатом шахрайства або помилки та вважаються суттєвими, якщо окремо або в сукупності, як обґрунтовано очікується, </w:t>
      </w:r>
      <w:r w:rsidRPr="00F76639">
        <w:rPr>
          <w:sz w:val="22"/>
          <w:szCs w:val="22"/>
          <w:lang w:val="uk-UA"/>
        </w:rPr>
        <w:lastRenderedPageBreak/>
        <w:t>вони можуть впливати на економічні рішення користувачів, що приймаються на основі цієї фінансової звітності</w:t>
      </w:r>
      <w:r>
        <w:rPr>
          <w:sz w:val="22"/>
          <w:szCs w:val="22"/>
          <w:lang w:val="uk-UA"/>
        </w:rPr>
        <w:t>.</w:t>
      </w:r>
    </w:p>
    <w:p w:rsidR="00F76639" w:rsidRPr="00F76639" w:rsidRDefault="00F76639" w:rsidP="00F76639">
      <w:pPr>
        <w:spacing w:after="120"/>
        <w:jc w:val="both"/>
        <w:rPr>
          <w:sz w:val="22"/>
          <w:szCs w:val="22"/>
          <w:lang w:val="uk-UA"/>
        </w:rPr>
      </w:pPr>
      <w:r w:rsidRPr="00F76639">
        <w:rPr>
          <w:sz w:val="22"/>
          <w:szCs w:val="22"/>
          <w:lang w:val="uk-UA"/>
        </w:rPr>
        <w:t xml:space="preserve">Виконуючи аудит відповідно до вимог МСА, ми використовуємо професійне судження та професійний скептицизм протягом усього завдання з аудиту. Крім того, ми:  </w:t>
      </w:r>
    </w:p>
    <w:p w:rsidR="00F76639" w:rsidRPr="00F76639" w:rsidRDefault="00F76639" w:rsidP="00F76639">
      <w:pPr>
        <w:numPr>
          <w:ilvl w:val="0"/>
          <w:numId w:val="19"/>
        </w:numPr>
        <w:spacing w:after="120"/>
        <w:jc w:val="both"/>
        <w:rPr>
          <w:sz w:val="22"/>
          <w:szCs w:val="22"/>
          <w:lang w:val="uk-UA"/>
        </w:rPr>
      </w:pPr>
      <w:r w:rsidRPr="00F76639">
        <w:rPr>
          <w:sz w:val="22"/>
          <w:szCs w:val="22"/>
          <w:lang w:val="uk-UA"/>
        </w:rPr>
        <w:t xml:space="preserve">ідентифікуємо та оцінюємо ризики суттєвого викривлення фінансової звітності внаслідок шахрайства чи помилки, розробляємо й виконуємо аудиторські процедури у відповідь на ці ризики, а також отримуємо аудиторські докази, що є достатніми та прийнятними для використання їх як основи для нашої думки. Ризик </w:t>
      </w:r>
      <w:proofErr w:type="spellStart"/>
      <w:r w:rsidRPr="00F76639">
        <w:rPr>
          <w:sz w:val="22"/>
          <w:szCs w:val="22"/>
          <w:lang w:val="uk-UA"/>
        </w:rPr>
        <w:t>невиявлення</w:t>
      </w:r>
      <w:proofErr w:type="spellEnd"/>
      <w:r w:rsidRPr="00F76639">
        <w:rPr>
          <w:sz w:val="22"/>
          <w:szCs w:val="22"/>
          <w:lang w:val="uk-UA"/>
        </w:rPr>
        <w:t xml:space="preserve"> суттєвого викривлення внаслідок шахрайства є вищим, ніж для викривлення внаслідок помилки, оскільки шахрайство може включати змову, підробку, навмисні пропуски, неправильні твердження або нехтування заходами внутрішнього контролю. </w:t>
      </w:r>
    </w:p>
    <w:p w:rsidR="00F76639" w:rsidRPr="00F76639" w:rsidRDefault="00F76639" w:rsidP="00F76639">
      <w:pPr>
        <w:numPr>
          <w:ilvl w:val="0"/>
          <w:numId w:val="19"/>
        </w:numPr>
        <w:spacing w:after="120"/>
        <w:jc w:val="both"/>
        <w:rPr>
          <w:sz w:val="22"/>
          <w:szCs w:val="22"/>
          <w:lang w:val="uk-UA"/>
        </w:rPr>
      </w:pPr>
      <w:r w:rsidRPr="00F76639">
        <w:rPr>
          <w:sz w:val="22"/>
          <w:szCs w:val="22"/>
          <w:lang w:val="uk-UA"/>
        </w:rPr>
        <w:t xml:space="preserve">отримуємо розуміння заходів внутрішнього контролю, що стосуються аудиту, для розробки аудиторських процедур, які б відповідали обставинам, а не для висловлення думки щодо ефективності системи внутрішнього контролю Товариства. </w:t>
      </w:r>
    </w:p>
    <w:p w:rsidR="00F76639" w:rsidRPr="00F76639" w:rsidRDefault="00F76639" w:rsidP="00F76639">
      <w:pPr>
        <w:numPr>
          <w:ilvl w:val="0"/>
          <w:numId w:val="19"/>
        </w:numPr>
        <w:spacing w:after="120"/>
        <w:jc w:val="both"/>
        <w:rPr>
          <w:sz w:val="22"/>
          <w:szCs w:val="22"/>
          <w:lang w:val="uk-UA"/>
        </w:rPr>
      </w:pPr>
      <w:r w:rsidRPr="00F76639">
        <w:rPr>
          <w:sz w:val="22"/>
          <w:szCs w:val="22"/>
          <w:lang w:val="uk-UA"/>
        </w:rPr>
        <w:t xml:space="preserve">оцінюємо прийнятність застосованих облікових політик та обґрунтованість облікових оцінок і відповідних розкриттів інформації, зроблених управлінським персоналом. </w:t>
      </w:r>
    </w:p>
    <w:p w:rsidR="00F76639" w:rsidRPr="00F76639" w:rsidRDefault="00F76639" w:rsidP="00F76639">
      <w:pPr>
        <w:numPr>
          <w:ilvl w:val="0"/>
          <w:numId w:val="19"/>
        </w:numPr>
        <w:spacing w:after="120"/>
        <w:jc w:val="both"/>
        <w:rPr>
          <w:sz w:val="22"/>
          <w:szCs w:val="22"/>
          <w:lang w:val="uk-UA"/>
        </w:rPr>
      </w:pPr>
      <w:r w:rsidRPr="00F76639">
        <w:rPr>
          <w:sz w:val="22"/>
          <w:szCs w:val="22"/>
          <w:lang w:val="uk-UA"/>
        </w:rPr>
        <w:t xml:space="preserve">доходимо висновку щодо прийнятності використання управлінським персоналом припущення про безперервність діяльності як основи для бухгалтерського обліку та, на основі отриманих аудиторських доказів, робимо висновок, чи існує суттєва невизначеність щодо подій або умов, які поставили б під значний сумнів можливість Товариства продовжити безперервну діяльність. Якщо ми доходимо висновку щодо існування такої суттєвої невизначеності, ми повинні привернути увагу в своєму звіті аудитора до відповідних розкриттів інформації у фінансовій звітності або, якщо такі розкриття інформації є неналежними, модифікувати свою думку. Наші висновки ґрунтуються на аудиторських доказах, отриманих до дати нашого звіту аудитора. Втім майбутні події або умови можуть примусити </w:t>
      </w:r>
      <w:r>
        <w:rPr>
          <w:sz w:val="22"/>
          <w:szCs w:val="22"/>
          <w:lang w:val="uk-UA"/>
        </w:rPr>
        <w:t>товариство</w:t>
      </w:r>
      <w:r w:rsidRPr="00F76639">
        <w:rPr>
          <w:sz w:val="22"/>
          <w:szCs w:val="22"/>
          <w:lang w:val="uk-UA"/>
        </w:rPr>
        <w:t xml:space="preserve"> припинити свою діяльність на безперервній основі. </w:t>
      </w:r>
    </w:p>
    <w:p w:rsidR="00F76639" w:rsidRPr="00F76639" w:rsidRDefault="00F76639" w:rsidP="00F76639">
      <w:pPr>
        <w:numPr>
          <w:ilvl w:val="0"/>
          <w:numId w:val="19"/>
        </w:numPr>
        <w:spacing w:after="120"/>
        <w:jc w:val="both"/>
        <w:rPr>
          <w:sz w:val="22"/>
          <w:szCs w:val="22"/>
          <w:lang w:val="uk-UA"/>
        </w:rPr>
      </w:pPr>
      <w:r w:rsidRPr="00F76639">
        <w:rPr>
          <w:sz w:val="22"/>
          <w:szCs w:val="22"/>
          <w:lang w:val="uk-UA"/>
        </w:rPr>
        <w:t>оцінюємо загальне подання, структуру та зміст фінансової звітності включно з розкриттями інформації, а також те, чи показує фінансова звітність операції та події, що покладені в основу її складання, так, щоб досягти достовірного відображення</w:t>
      </w:r>
      <w:r>
        <w:rPr>
          <w:sz w:val="22"/>
          <w:szCs w:val="22"/>
          <w:lang w:val="uk-UA"/>
        </w:rPr>
        <w:t>.</w:t>
      </w:r>
    </w:p>
    <w:p w:rsidR="00F76639" w:rsidRDefault="00F76639" w:rsidP="00681A1E">
      <w:pPr>
        <w:spacing w:after="120"/>
        <w:jc w:val="both"/>
        <w:rPr>
          <w:sz w:val="22"/>
          <w:szCs w:val="22"/>
          <w:lang w:val="uk-UA"/>
        </w:rPr>
      </w:pPr>
      <w:r w:rsidRPr="00F76639">
        <w:rPr>
          <w:sz w:val="22"/>
          <w:szCs w:val="22"/>
          <w:lang w:val="uk-UA"/>
        </w:rPr>
        <w:t>Ми повідомляємо тим, кого наділено найвищими повноваженнями, разом з іншими питаннями, інформацію про запланований обсяг і час проведення аудиту та суттєві результати аудиту, включаючи будь-які суттєві недоліки заходів внутрішнього контролю, виявлені нами під час аудиту</w:t>
      </w:r>
      <w:r>
        <w:rPr>
          <w:sz w:val="22"/>
          <w:szCs w:val="22"/>
          <w:lang w:val="uk-UA"/>
        </w:rPr>
        <w:t>.</w:t>
      </w:r>
    </w:p>
    <w:p w:rsidR="008174DD" w:rsidRPr="00AE1300" w:rsidRDefault="007B37E6" w:rsidP="00B03D00">
      <w:pPr>
        <w:pStyle w:val="3"/>
        <w:spacing w:after="120"/>
        <w:ind w:firstLine="0"/>
        <w:contextualSpacing/>
        <w:jc w:val="center"/>
        <w:rPr>
          <w:b/>
          <w:i/>
          <w:color w:val="000000"/>
          <w:sz w:val="24"/>
          <w:szCs w:val="27"/>
        </w:rPr>
      </w:pPr>
      <w:r w:rsidRPr="00AE1300">
        <w:rPr>
          <w:b/>
          <w:i/>
          <w:color w:val="000000"/>
          <w:sz w:val="24"/>
          <w:szCs w:val="27"/>
        </w:rPr>
        <w:t>Звіт щодо вимог інших законодавчих і нормативних актів</w:t>
      </w:r>
    </w:p>
    <w:p w:rsidR="004D4078" w:rsidRPr="001E0DB0" w:rsidRDefault="00185E73" w:rsidP="008A1C8A">
      <w:pPr>
        <w:pStyle w:val="3"/>
        <w:spacing w:after="120"/>
        <w:ind w:firstLine="0"/>
        <w:rPr>
          <w:bCs/>
          <w:szCs w:val="22"/>
        </w:rPr>
      </w:pPr>
      <w:r w:rsidRPr="008841A4">
        <w:rPr>
          <w:bCs/>
          <w:color w:val="000000"/>
          <w:szCs w:val="22"/>
        </w:rPr>
        <w:t xml:space="preserve">Не включаючи до нашого висновку застережень, в наступних  пояснювальних параграфах на виконання Розпорядження Національної комісії, що здійснює державне регулювання у сфері ринків фінансових послуг від 01.02.2018 №142 "Методичні рекомендації щодо аудиторських звітів, що подаються до Національної комісії, що здійснює державне регулювання у сфері ринків фінансових послуг, за результатами аудиту річної звітності та звітних даних фінансових установ за 2017 рік." ми звертаємо увагу на питання дотримання Товариством вимог законодавчих і </w:t>
      </w:r>
      <w:r w:rsidRPr="001E0DB0">
        <w:rPr>
          <w:bCs/>
          <w:szCs w:val="22"/>
        </w:rPr>
        <w:t xml:space="preserve">нормативних актів до діяльності </w:t>
      </w:r>
      <w:r w:rsidR="00E77C34" w:rsidRPr="001E0DB0">
        <w:rPr>
          <w:bCs/>
          <w:szCs w:val="22"/>
        </w:rPr>
        <w:t>страхових</w:t>
      </w:r>
      <w:r w:rsidRPr="001E0DB0">
        <w:rPr>
          <w:bCs/>
          <w:szCs w:val="22"/>
        </w:rPr>
        <w:t xml:space="preserve"> компаній:</w:t>
      </w:r>
    </w:p>
    <w:p w:rsidR="00CC1ACE" w:rsidRPr="00CC1ACE" w:rsidRDefault="00E77C34" w:rsidP="00CC1ACE">
      <w:pPr>
        <w:pStyle w:val="3"/>
        <w:spacing w:after="120"/>
        <w:jc w:val="center"/>
        <w:rPr>
          <w:bCs/>
          <w:i/>
          <w:szCs w:val="22"/>
          <w:lang w:val="ru-RU"/>
        </w:rPr>
      </w:pPr>
      <w:r w:rsidRPr="00CC1ACE">
        <w:rPr>
          <w:bCs/>
          <w:i/>
          <w:szCs w:val="22"/>
        </w:rPr>
        <w:t>Відповідність політики перестрахування</w:t>
      </w:r>
    </w:p>
    <w:p w:rsidR="00856A8C" w:rsidRDefault="00856A8C" w:rsidP="00CC1ACE">
      <w:pPr>
        <w:pStyle w:val="3"/>
        <w:spacing w:after="120"/>
        <w:ind w:firstLine="0"/>
        <w:rPr>
          <w:bCs/>
          <w:szCs w:val="22"/>
        </w:rPr>
      </w:pPr>
      <w:r>
        <w:rPr>
          <w:bCs/>
          <w:szCs w:val="22"/>
        </w:rPr>
        <w:t>Положення про перестрахування</w:t>
      </w:r>
      <w:r w:rsidR="003D7A7D">
        <w:rPr>
          <w:bCs/>
          <w:szCs w:val="22"/>
        </w:rPr>
        <w:t xml:space="preserve"> (нова редакція)</w:t>
      </w:r>
      <w:r>
        <w:rPr>
          <w:bCs/>
          <w:szCs w:val="22"/>
        </w:rPr>
        <w:t xml:space="preserve"> затверджено головою правління Товариства 16.01.2017р.</w:t>
      </w:r>
    </w:p>
    <w:p w:rsidR="00CC1ACE" w:rsidRPr="00CE40CB" w:rsidRDefault="00CC1ACE" w:rsidP="00CC1ACE">
      <w:pPr>
        <w:pStyle w:val="3"/>
        <w:spacing w:after="120"/>
        <w:ind w:firstLine="0"/>
        <w:rPr>
          <w:bCs/>
          <w:szCs w:val="22"/>
        </w:rPr>
      </w:pPr>
      <w:r w:rsidRPr="00CE40CB">
        <w:rPr>
          <w:bCs/>
          <w:szCs w:val="22"/>
        </w:rPr>
        <w:t>Протягом звітного періоду товариство укладало угоди перестрахування як щодо передачі так і щодо прийняття страхових ризиків у перестрахування.</w:t>
      </w:r>
    </w:p>
    <w:p w:rsidR="0054601E" w:rsidRPr="00CE40CB" w:rsidRDefault="00CC1ACE" w:rsidP="00CC1ACE">
      <w:pPr>
        <w:pStyle w:val="3"/>
        <w:spacing w:after="120"/>
        <w:ind w:firstLine="0"/>
        <w:rPr>
          <w:bCs/>
          <w:szCs w:val="22"/>
        </w:rPr>
      </w:pPr>
      <w:r w:rsidRPr="00CE40CB">
        <w:rPr>
          <w:bCs/>
          <w:szCs w:val="22"/>
        </w:rPr>
        <w:t>Товариство прийняло у перестрахування ризики з таких видів добровільного страхування:</w:t>
      </w:r>
    </w:p>
    <w:p w:rsidR="00CC1ACE" w:rsidRPr="00CE40CB" w:rsidRDefault="00CC1ACE" w:rsidP="0054601E">
      <w:pPr>
        <w:pStyle w:val="3"/>
        <w:numPr>
          <w:ilvl w:val="0"/>
          <w:numId w:val="23"/>
        </w:numPr>
        <w:spacing w:after="120"/>
        <w:rPr>
          <w:bCs/>
          <w:szCs w:val="22"/>
        </w:rPr>
      </w:pPr>
      <w:r w:rsidRPr="00CE40CB">
        <w:rPr>
          <w:bCs/>
          <w:szCs w:val="22"/>
        </w:rPr>
        <w:t>добровільне страхування відповідальності перед третіми особами</w:t>
      </w:r>
    </w:p>
    <w:p w:rsidR="0054601E" w:rsidRPr="00AE1300" w:rsidRDefault="0054601E" w:rsidP="0054601E">
      <w:pPr>
        <w:pStyle w:val="3"/>
        <w:spacing w:after="120"/>
        <w:ind w:firstLine="0"/>
        <w:rPr>
          <w:bCs/>
          <w:color w:val="000000"/>
          <w:szCs w:val="22"/>
        </w:rPr>
      </w:pPr>
      <w:r w:rsidRPr="00CE40CB">
        <w:rPr>
          <w:bCs/>
          <w:szCs w:val="22"/>
        </w:rPr>
        <w:t>загальна сума відповідальності Товариства за такими договорами</w:t>
      </w:r>
      <w:r w:rsidR="00CE40CB">
        <w:rPr>
          <w:bCs/>
          <w:szCs w:val="22"/>
        </w:rPr>
        <w:t xml:space="preserve"> станом на кінець звітного періоду складає</w:t>
      </w:r>
      <w:r>
        <w:rPr>
          <w:bCs/>
          <w:color w:val="FF0000"/>
          <w:szCs w:val="22"/>
        </w:rPr>
        <w:t xml:space="preserve"> </w:t>
      </w:r>
      <w:r w:rsidR="00D452E9" w:rsidRPr="00AE1300">
        <w:rPr>
          <w:bCs/>
          <w:color w:val="000000"/>
          <w:szCs w:val="22"/>
        </w:rPr>
        <w:t>160</w:t>
      </w:r>
      <w:r w:rsidRPr="00AE1300">
        <w:rPr>
          <w:bCs/>
          <w:color w:val="000000"/>
          <w:szCs w:val="22"/>
        </w:rPr>
        <w:t xml:space="preserve"> тис. грн.</w:t>
      </w:r>
    </w:p>
    <w:p w:rsidR="00CC1ACE" w:rsidRPr="00CE40CB" w:rsidRDefault="00CC1ACE" w:rsidP="00CC1ACE">
      <w:pPr>
        <w:pStyle w:val="3"/>
        <w:spacing w:after="120"/>
        <w:ind w:firstLine="0"/>
        <w:rPr>
          <w:bCs/>
          <w:szCs w:val="22"/>
        </w:rPr>
      </w:pPr>
      <w:r w:rsidRPr="00CE40CB">
        <w:rPr>
          <w:bCs/>
          <w:szCs w:val="22"/>
        </w:rPr>
        <w:lastRenderedPageBreak/>
        <w:t>Товариство передало у перестрахування ризики з таких видів добровільного і обов'язкового страхування:</w:t>
      </w:r>
    </w:p>
    <w:p w:rsidR="00CC1ACE" w:rsidRDefault="00CC1ACE" w:rsidP="0054601E">
      <w:pPr>
        <w:pStyle w:val="3"/>
        <w:numPr>
          <w:ilvl w:val="0"/>
          <w:numId w:val="23"/>
        </w:numPr>
        <w:spacing w:after="120"/>
        <w:rPr>
          <w:bCs/>
          <w:szCs w:val="22"/>
        </w:rPr>
      </w:pPr>
      <w:r w:rsidRPr="00CE40CB">
        <w:rPr>
          <w:bCs/>
          <w:szCs w:val="22"/>
        </w:rPr>
        <w:t>добровільне страхування від вогневих ризиків та ризиків стихійних явищ;</w:t>
      </w:r>
    </w:p>
    <w:p w:rsidR="009703AA" w:rsidRPr="00CE40CB" w:rsidRDefault="009703AA" w:rsidP="0054601E">
      <w:pPr>
        <w:pStyle w:val="3"/>
        <w:numPr>
          <w:ilvl w:val="0"/>
          <w:numId w:val="23"/>
        </w:numPr>
        <w:spacing w:after="120"/>
        <w:rPr>
          <w:bCs/>
          <w:szCs w:val="22"/>
        </w:rPr>
      </w:pPr>
      <w:r>
        <w:rPr>
          <w:bCs/>
          <w:szCs w:val="22"/>
        </w:rPr>
        <w:t>добровільне страхування майна;</w:t>
      </w:r>
    </w:p>
    <w:p w:rsidR="00CC1ACE" w:rsidRPr="00CE40CB" w:rsidRDefault="00CC1ACE" w:rsidP="0054601E">
      <w:pPr>
        <w:pStyle w:val="3"/>
        <w:numPr>
          <w:ilvl w:val="0"/>
          <w:numId w:val="23"/>
        </w:numPr>
        <w:spacing w:after="120"/>
        <w:rPr>
          <w:bCs/>
          <w:szCs w:val="22"/>
        </w:rPr>
      </w:pPr>
      <w:r w:rsidRPr="00CE40CB">
        <w:rPr>
          <w:bCs/>
          <w:szCs w:val="22"/>
        </w:rPr>
        <w:t>добровільне страхування наземного транспорту (крім залізничного)</w:t>
      </w:r>
    </w:p>
    <w:p w:rsidR="00CC1ACE" w:rsidRPr="00CE40CB" w:rsidRDefault="00CC1ACE" w:rsidP="0054601E">
      <w:pPr>
        <w:pStyle w:val="3"/>
        <w:numPr>
          <w:ilvl w:val="0"/>
          <w:numId w:val="23"/>
        </w:numPr>
        <w:spacing w:after="120"/>
        <w:rPr>
          <w:bCs/>
          <w:szCs w:val="22"/>
        </w:rPr>
      </w:pPr>
      <w:r w:rsidRPr="00CE40CB">
        <w:rPr>
          <w:bCs/>
          <w:szCs w:val="22"/>
        </w:rPr>
        <w:t>обов’язкове страхування  предмета іпотеки від ризиків випадкового знищення, випадкового пошкодження або псування;</w:t>
      </w:r>
    </w:p>
    <w:p w:rsidR="00CC1ACE" w:rsidRPr="00AE1300" w:rsidRDefault="0054601E" w:rsidP="00CC1ACE">
      <w:pPr>
        <w:pStyle w:val="3"/>
        <w:spacing w:after="120"/>
        <w:ind w:firstLine="0"/>
        <w:rPr>
          <w:bCs/>
          <w:color w:val="000000"/>
          <w:szCs w:val="22"/>
        </w:rPr>
      </w:pPr>
      <w:r w:rsidRPr="00CE40CB">
        <w:rPr>
          <w:bCs/>
          <w:szCs w:val="22"/>
        </w:rPr>
        <w:t xml:space="preserve">загальна сума відповідальності перестраховиків за такими договорами </w:t>
      </w:r>
      <w:r w:rsidR="00CE40CB">
        <w:rPr>
          <w:bCs/>
          <w:szCs w:val="22"/>
        </w:rPr>
        <w:t xml:space="preserve">станом на кінець звітного </w:t>
      </w:r>
      <w:r w:rsidR="00CE40CB" w:rsidRPr="00AE1300">
        <w:rPr>
          <w:bCs/>
          <w:color w:val="000000"/>
          <w:szCs w:val="22"/>
        </w:rPr>
        <w:t xml:space="preserve">періоду </w:t>
      </w:r>
      <w:r w:rsidRPr="00AE1300">
        <w:rPr>
          <w:bCs/>
          <w:color w:val="000000"/>
          <w:szCs w:val="22"/>
        </w:rPr>
        <w:t>складає 2735</w:t>
      </w:r>
      <w:r w:rsidR="00027E72" w:rsidRPr="00AE1300">
        <w:rPr>
          <w:bCs/>
          <w:color w:val="000000"/>
          <w:szCs w:val="22"/>
        </w:rPr>
        <w:t>399,4</w:t>
      </w:r>
      <w:r w:rsidRPr="00AE1300">
        <w:rPr>
          <w:bCs/>
          <w:color w:val="000000"/>
          <w:szCs w:val="22"/>
        </w:rPr>
        <w:t xml:space="preserve"> тис. грн.</w:t>
      </w:r>
    </w:p>
    <w:p w:rsidR="00E77C34" w:rsidRDefault="00D452E9" w:rsidP="00CC1ACE">
      <w:pPr>
        <w:pStyle w:val="3"/>
        <w:spacing w:after="120"/>
        <w:ind w:firstLine="0"/>
        <w:rPr>
          <w:bCs/>
          <w:color w:val="FF0000"/>
          <w:szCs w:val="22"/>
          <w:lang w:val="ru-RU"/>
        </w:rPr>
      </w:pPr>
      <w:r w:rsidRPr="00AE1300">
        <w:rPr>
          <w:bCs/>
          <w:color w:val="000000"/>
          <w:szCs w:val="22"/>
        </w:rPr>
        <w:t>Товариство передає у перестрахування ризики у випадку</w:t>
      </w:r>
      <w:r w:rsidR="00CE40CB" w:rsidRPr="00AE1300">
        <w:rPr>
          <w:bCs/>
          <w:color w:val="000000"/>
          <w:szCs w:val="22"/>
        </w:rPr>
        <w:t>, якщо страхова сума за окремим предметом договору страхування перевищує 45</w:t>
      </w:r>
      <w:r w:rsidR="00027E72" w:rsidRPr="00AE1300">
        <w:rPr>
          <w:bCs/>
          <w:color w:val="000000"/>
          <w:szCs w:val="22"/>
        </w:rPr>
        <w:t>,5</w:t>
      </w:r>
      <w:r w:rsidR="00CE40CB" w:rsidRPr="00AE1300">
        <w:rPr>
          <w:bCs/>
          <w:color w:val="000000"/>
          <w:szCs w:val="22"/>
        </w:rPr>
        <w:t xml:space="preserve"> млн. грн.</w:t>
      </w:r>
      <w:r w:rsidR="00027E72" w:rsidRPr="00AE1300">
        <w:rPr>
          <w:bCs/>
          <w:color w:val="000000"/>
          <w:szCs w:val="22"/>
        </w:rPr>
        <w:t>, що не перевищує 10%</w:t>
      </w:r>
      <w:r w:rsidR="00CE40CB" w:rsidRPr="00027E72">
        <w:rPr>
          <w:bCs/>
          <w:color w:val="FF0000"/>
          <w:szCs w:val="22"/>
        </w:rPr>
        <w:t xml:space="preserve">  </w:t>
      </w:r>
      <w:r w:rsidR="00CE40CB" w:rsidRPr="00AE1300">
        <w:rPr>
          <w:bCs/>
          <w:color w:val="000000"/>
          <w:szCs w:val="22"/>
        </w:rPr>
        <w:t>суми сплаченого статутного  капіталу і сформованих  вільних  резервів  та страхових  резервів</w:t>
      </w:r>
      <w:r w:rsidR="00E77C34" w:rsidRPr="00E77C34">
        <w:rPr>
          <w:bCs/>
          <w:color w:val="FF0000"/>
          <w:szCs w:val="22"/>
        </w:rPr>
        <w:t>.</w:t>
      </w:r>
    </w:p>
    <w:p w:rsidR="00E77C34" w:rsidRPr="007B403F" w:rsidRDefault="007B403F" w:rsidP="007B403F">
      <w:pPr>
        <w:pStyle w:val="3"/>
        <w:spacing w:after="120"/>
        <w:jc w:val="center"/>
        <w:rPr>
          <w:bCs/>
          <w:i/>
          <w:szCs w:val="22"/>
        </w:rPr>
      </w:pPr>
      <w:r w:rsidRPr="007B403F">
        <w:rPr>
          <w:bCs/>
          <w:i/>
          <w:szCs w:val="22"/>
        </w:rPr>
        <w:t>Дотримання порядку з</w:t>
      </w:r>
      <w:r w:rsidR="00E77C34" w:rsidRPr="007B403F">
        <w:rPr>
          <w:bCs/>
          <w:i/>
          <w:szCs w:val="22"/>
        </w:rPr>
        <w:t>дійснення обов'язкового страхування</w:t>
      </w:r>
    </w:p>
    <w:p w:rsidR="008A1C8A" w:rsidRPr="008841A4" w:rsidRDefault="008A1C8A" w:rsidP="008A1C8A">
      <w:pPr>
        <w:pStyle w:val="3"/>
        <w:spacing w:after="120"/>
        <w:ind w:firstLine="0"/>
        <w:rPr>
          <w:bCs/>
          <w:color w:val="000000"/>
          <w:szCs w:val="22"/>
        </w:rPr>
      </w:pPr>
      <w:r w:rsidRPr="008A1C8A">
        <w:rPr>
          <w:bCs/>
          <w:szCs w:val="22"/>
        </w:rPr>
        <w:t>Товариство має наступні ліцензії на здійснення страхової діяльності формі</w:t>
      </w:r>
      <w:r w:rsidRPr="008A1C8A">
        <w:rPr>
          <w:bCs/>
          <w:color w:val="000000"/>
          <w:szCs w:val="22"/>
        </w:rPr>
        <w:t xml:space="preserve">  обов’язкового страхування</w:t>
      </w:r>
      <w:r>
        <w:rPr>
          <w:bCs/>
          <w:color w:val="000000"/>
          <w:szCs w:val="22"/>
        </w:rPr>
        <w:t xml:space="preserve">, </w:t>
      </w:r>
      <w:r w:rsidRPr="008A1C8A">
        <w:rPr>
          <w:bCs/>
          <w:color w:val="000000"/>
          <w:szCs w:val="22"/>
        </w:rPr>
        <w:t>видані Національною комісією що здійснює державне регулювання у сфері ринків фінансових послуг</w:t>
      </w:r>
      <w:r>
        <w:rPr>
          <w:bCs/>
          <w:color w:val="000000"/>
          <w:szCs w:val="22"/>
        </w:rPr>
        <w:t>:</w:t>
      </w:r>
      <w:r w:rsidRPr="008A1C8A">
        <w:rPr>
          <w:bCs/>
          <w:color w:val="000000"/>
          <w:szCs w:val="22"/>
        </w:rPr>
        <w:t xml:space="preserve">  </w:t>
      </w:r>
    </w:p>
    <w:p w:rsidR="008A1C8A" w:rsidRDefault="008A1C8A" w:rsidP="008A1C8A">
      <w:pPr>
        <w:pStyle w:val="HTML"/>
        <w:numPr>
          <w:ilvl w:val="0"/>
          <w:numId w:val="22"/>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textAlignment w:val="baseline"/>
        <w:rPr>
          <w:rFonts w:ascii="Times New Roman" w:hAnsi="Times New Roman"/>
          <w:bCs/>
          <w:color w:val="000000"/>
          <w:sz w:val="22"/>
          <w:szCs w:val="22"/>
          <w:lang w:val="uk-UA"/>
        </w:rPr>
      </w:pPr>
      <w:r w:rsidRPr="008A1C8A">
        <w:rPr>
          <w:rFonts w:ascii="Times New Roman" w:hAnsi="Times New Roman"/>
          <w:bCs/>
          <w:color w:val="000000"/>
          <w:sz w:val="22"/>
          <w:szCs w:val="22"/>
          <w:lang w:val="uk-UA"/>
        </w:rPr>
        <w:t xml:space="preserve">ліцензія АЕ №284273, </w:t>
      </w:r>
      <w:r>
        <w:rPr>
          <w:rFonts w:ascii="Times New Roman" w:hAnsi="Times New Roman"/>
          <w:bCs/>
          <w:color w:val="000000"/>
          <w:sz w:val="22"/>
          <w:szCs w:val="22"/>
          <w:lang w:val="uk-UA"/>
        </w:rPr>
        <w:t xml:space="preserve">видана </w:t>
      </w:r>
      <w:r w:rsidRPr="008A1C8A">
        <w:rPr>
          <w:rFonts w:ascii="Times New Roman" w:hAnsi="Times New Roman"/>
          <w:bCs/>
          <w:color w:val="000000"/>
          <w:sz w:val="22"/>
          <w:szCs w:val="22"/>
          <w:lang w:val="uk-UA"/>
        </w:rPr>
        <w:t>26.12.2013р., безстрокова</w:t>
      </w:r>
      <w:r>
        <w:rPr>
          <w:rFonts w:ascii="Times New Roman" w:hAnsi="Times New Roman"/>
          <w:bCs/>
          <w:color w:val="000000"/>
          <w:sz w:val="22"/>
          <w:szCs w:val="22"/>
          <w:lang w:val="uk-UA"/>
        </w:rPr>
        <w:t>,</w:t>
      </w:r>
      <w:r w:rsidRPr="008A1C8A">
        <w:rPr>
          <w:rFonts w:ascii="Times New Roman" w:hAnsi="Times New Roman"/>
          <w:bCs/>
          <w:color w:val="000000"/>
          <w:sz w:val="22"/>
          <w:szCs w:val="22"/>
          <w:lang w:val="uk-UA"/>
        </w:rPr>
        <w:t xml:space="preserve"> на здійснення страхової діяльності у формі обов’язкового страхування  предмета іпотеки від ризиків випадкового знищення, випадкового пошкодження або псування</w:t>
      </w:r>
      <w:r>
        <w:rPr>
          <w:rFonts w:ascii="Times New Roman" w:hAnsi="Times New Roman"/>
          <w:bCs/>
          <w:color w:val="000000"/>
          <w:sz w:val="22"/>
          <w:szCs w:val="22"/>
          <w:lang w:val="uk-UA"/>
        </w:rPr>
        <w:t>,</w:t>
      </w:r>
    </w:p>
    <w:p w:rsidR="008A1C8A" w:rsidRPr="008A1C8A" w:rsidRDefault="008A1C8A" w:rsidP="008A1C8A">
      <w:pPr>
        <w:pStyle w:val="HTML"/>
        <w:numPr>
          <w:ilvl w:val="0"/>
          <w:numId w:val="22"/>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120"/>
        <w:ind w:left="714" w:hanging="357"/>
        <w:jc w:val="both"/>
        <w:textAlignment w:val="baseline"/>
        <w:rPr>
          <w:rFonts w:ascii="Times New Roman" w:hAnsi="Times New Roman"/>
          <w:bCs/>
          <w:color w:val="000000"/>
          <w:sz w:val="22"/>
          <w:szCs w:val="22"/>
          <w:lang w:val="uk-UA"/>
        </w:rPr>
      </w:pPr>
      <w:r w:rsidRPr="008A1C8A">
        <w:rPr>
          <w:rFonts w:ascii="Times New Roman" w:hAnsi="Times New Roman"/>
          <w:bCs/>
          <w:color w:val="000000"/>
          <w:sz w:val="22"/>
          <w:szCs w:val="22"/>
          <w:lang w:val="uk-UA"/>
        </w:rPr>
        <w:t>ліцензія</w:t>
      </w:r>
      <w:r>
        <w:rPr>
          <w:rFonts w:ascii="Times New Roman" w:hAnsi="Times New Roman"/>
          <w:bCs/>
          <w:color w:val="000000"/>
          <w:sz w:val="22"/>
          <w:szCs w:val="22"/>
          <w:lang w:val="uk-UA"/>
        </w:rPr>
        <w:t xml:space="preserve">, видана розпорядженням </w:t>
      </w:r>
      <w:r w:rsidRPr="008A1C8A">
        <w:rPr>
          <w:rFonts w:ascii="Times New Roman" w:hAnsi="Times New Roman"/>
          <w:bCs/>
          <w:color w:val="000000"/>
          <w:sz w:val="22"/>
          <w:szCs w:val="22"/>
          <w:lang w:val="uk-UA"/>
        </w:rPr>
        <w:t>№2910, 26.11.2015р., безстрокова</w:t>
      </w:r>
      <w:r>
        <w:rPr>
          <w:rFonts w:ascii="Times New Roman" w:hAnsi="Times New Roman"/>
          <w:bCs/>
          <w:color w:val="000000"/>
          <w:sz w:val="22"/>
          <w:szCs w:val="22"/>
          <w:lang w:val="uk-UA"/>
        </w:rPr>
        <w:t>,</w:t>
      </w:r>
      <w:r w:rsidRPr="008A1C8A">
        <w:rPr>
          <w:rFonts w:ascii="Times New Roman" w:hAnsi="Times New Roman"/>
          <w:bCs/>
          <w:color w:val="000000"/>
          <w:sz w:val="22"/>
          <w:szCs w:val="22"/>
          <w:lang w:val="uk-UA"/>
        </w:rPr>
        <w:t xml:space="preserve"> на здійснення   страхової  діяльності  у формі  обов’язкового страхування  цивільно-правової  відповідальності  приватного  нотаріуса</w:t>
      </w:r>
      <w:r>
        <w:rPr>
          <w:rFonts w:ascii="Times New Roman" w:hAnsi="Times New Roman"/>
          <w:bCs/>
          <w:color w:val="000000"/>
          <w:sz w:val="22"/>
          <w:szCs w:val="22"/>
          <w:lang w:val="uk-UA"/>
        </w:rPr>
        <w:t>.</w:t>
      </w:r>
    </w:p>
    <w:p w:rsidR="008A1C8A" w:rsidRPr="005F0CA6" w:rsidRDefault="008A1C8A" w:rsidP="00D452E9">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120"/>
        <w:jc w:val="both"/>
        <w:textAlignment w:val="baseline"/>
        <w:rPr>
          <w:rFonts w:ascii="Times New Roman" w:hAnsi="Times New Roman"/>
          <w:bCs/>
          <w:color w:val="000000"/>
          <w:sz w:val="22"/>
          <w:szCs w:val="22"/>
          <w:lang w:val="uk-UA"/>
        </w:rPr>
      </w:pPr>
      <w:r>
        <w:rPr>
          <w:rFonts w:ascii="Times New Roman" w:hAnsi="Times New Roman"/>
          <w:bCs/>
          <w:color w:val="000000"/>
          <w:sz w:val="22"/>
          <w:szCs w:val="22"/>
          <w:lang w:val="uk-UA"/>
        </w:rPr>
        <w:t>Під час аудиту ніщо не привернуло нашої уваги, що змусило б нас вважати, що здійснення Товариством цих видів страхування протягом звітного періоду проводилося з недотриманням умов</w:t>
      </w:r>
      <w:r w:rsidR="007B403F">
        <w:rPr>
          <w:rFonts w:ascii="Times New Roman" w:hAnsi="Times New Roman"/>
          <w:bCs/>
          <w:color w:val="000000"/>
          <w:sz w:val="22"/>
          <w:szCs w:val="22"/>
          <w:lang w:val="uk-UA"/>
        </w:rPr>
        <w:t xml:space="preserve">, визначених Постановами Кабінету Міністрів </w:t>
      </w:r>
      <w:r w:rsidR="007B403F" w:rsidRPr="007B403F">
        <w:rPr>
          <w:rFonts w:ascii="Times New Roman" w:hAnsi="Times New Roman"/>
          <w:bCs/>
          <w:color w:val="000000"/>
          <w:sz w:val="22"/>
          <w:szCs w:val="22"/>
          <w:lang w:val="uk-UA"/>
        </w:rPr>
        <w:t>від 06 квітня 2011 року №358</w:t>
      </w:r>
      <w:r w:rsidR="007B403F">
        <w:rPr>
          <w:rFonts w:ascii="Times New Roman" w:hAnsi="Times New Roman"/>
          <w:bCs/>
          <w:color w:val="000000"/>
          <w:sz w:val="22"/>
          <w:szCs w:val="22"/>
          <w:lang w:val="uk-UA"/>
        </w:rPr>
        <w:t xml:space="preserve"> та </w:t>
      </w:r>
      <w:r>
        <w:rPr>
          <w:rFonts w:ascii="Times New Roman" w:hAnsi="Times New Roman"/>
          <w:bCs/>
          <w:color w:val="000000"/>
          <w:sz w:val="22"/>
          <w:szCs w:val="22"/>
          <w:lang w:val="uk-UA"/>
        </w:rPr>
        <w:t xml:space="preserve"> </w:t>
      </w:r>
      <w:r w:rsidR="007B403F" w:rsidRPr="004E2EFE">
        <w:rPr>
          <w:rStyle w:val="22"/>
          <w:sz w:val="22"/>
          <w:szCs w:val="24"/>
        </w:rPr>
        <w:t>від 19 серпня 2015 року №624</w:t>
      </w:r>
      <w:r w:rsidR="007B403F">
        <w:rPr>
          <w:rStyle w:val="22"/>
          <w:sz w:val="22"/>
          <w:szCs w:val="24"/>
        </w:rPr>
        <w:t>.</w:t>
      </w:r>
    </w:p>
    <w:p w:rsidR="008A1C8A" w:rsidRPr="00AE1300" w:rsidRDefault="00D452E9" w:rsidP="00D452E9">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textAlignment w:val="baseline"/>
        <w:rPr>
          <w:rFonts w:ascii="Times New Roman" w:hAnsi="Times New Roman"/>
          <w:bCs/>
          <w:i/>
          <w:color w:val="000000"/>
          <w:sz w:val="22"/>
          <w:szCs w:val="22"/>
          <w:lang w:val="uk-UA"/>
        </w:rPr>
      </w:pPr>
      <w:r w:rsidRPr="00AE1300">
        <w:rPr>
          <w:rFonts w:ascii="Times New Roman" w:hAnsi="Times New Roman"/>
          <w:bCs/>
          <w:i/>
          <w:color w:val="000000"/>
          <w:sz w:val="22"/>
          <w:szCs w:val="22"/>
          <w:lang w:val="uk-UA"/>
        </w:rPr>
        <w:t>Дотримання обов’язкових критеріїв та нормативів достатності, диверсифікованості та якості активів страховика</w:t>
      </w:r>
    </w:p>
    <w:p w:rsidR="00CE40CB" w:rsidRDefault="00CE40CB" w:rsidP="00CE40CB">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120"/>
        <w:jc w:val="both"/>
        <w:textAlignment w:val="baseline"/>
        <w:rPr>
          <w:rFonts w:ascii="Times New Roman" w:hAnsi="Times New Roman"/>
          <w:bCs/>
          <w:color w:val="000000"/>
          <w:sz w:val="22"/>
          <w:szCs w:val="22"/>
          <w:lang w:val="uk-UA"/>
        </w:rPr>
      </w:pPr>
      <w:r>
        <w:rPr>
          <w:rFonts w:ascii="Times New Roman" w:hAnsi="Times New Roman"/>
          <w:bCs/>
          <w:color w:val="000000"/>
          <w:sz w:val="22"/>
          <w:szCs w:val="22"/>
          <w:lang w:val="uk-UA"/>
        </w:rPr>
        <w:t xml:space="preserve">Товариство в цілому дотримується </w:t>
      </w:r>
      <w:r w:rsidRPr="00CE40CB">
        <w:rPr>
          <w:rFonts w:ascii="Times New Roman" w:hAnsi="Times New Roman"/>
          <w:bCs/>
          <w:color w:val="000000"/>
          <w:sz w:val="22"/>
          <w:szCs w:val="22"/>
          <w:lang w:val="uk-UA"/>
        </w:rPr>
        <w:t>обов'язкових критеріїв і нормативів достатності капіталу та платоспроможності, ліквідності, прибутковості, якості активів та ризиковості операцій, додержання інших показників і вимог, що обмежують ризики за операціями з фінансовими активами</w:t>
      </w:r>
      <w:r>
        <w:rPr>
          <w:rFonts w:ascii="Times New Roman" w:hAnsi="Times New Roman"/>
          <w:bCs/>
          <w:color w:val="000000"/>
          <w:sz w:val="22"/>
          <w:szCs w:val="22"/>
          <w:lang w:val="uk-UA"/>
        </w:rPr>
        <w:t xml:space="preserve"> страхових компаній.</w:t>
      </w:r>
    </w:p>
    <w:p w:rsidR="00CE40CB" w:rsidRDefault="00CE40CB" w:rsidP="00CE40CB">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120"/>
        <w:jc w:val="both"/>
        <w:textAlignment w:val="baseline"/>
        <w:rPr>
          <w:rFonts w:ascii="Times New Roman" w:hAnsi="Times New Roman"/>
          <w:bCs/>
          <w:color w:val="000000"/>
          <w:sz w:val="22"/>
          <w:szCs w:val="22"/>
          <w:lang w:val="uk-UA"/>
        </w:rPr>
      </w:pPr>
      <w:r w:rsidRPr="00CE40CB">
        <w:rPr>
          <w:rFonts w:ascii="Times New Roman" w:hAnsi="Times New Roman"/>
          <w:bCs/>
          <w:color w:val="000000"/>
          <w:sz w:val="22"/>
          <w:szCs w:val="22"/>
          <w:lang w:val="uk-UA"/>
        </w:rPr>
        <w:t xml:space="preserve">Норматив достатності активів </w:t>
      </w:r>
      <w:r>
        <w:rPr>
          <w:rFonts w:ascii="Times New Roman" w:hAnsi="Times New Roman"/>
          <w:bCs/>
          <w:color w:val="000000"/>
          <w:sz w:val="22"/>
          <w:szCs w:val="22"/>
          <w:lang w:val="uk-UA"/>
        </w:rPr>
        <w:t>станом на кінець звітного періоду перевищує</w:t>
      </w:r>
      <w:r w:rsidRPr="00CE40CB">
        <w:rPr>
          <w:rFonts w:ascii="Times New Roman" w:hAnsi="Times New Roman"/>
          <w:bCs/>
          <w:color w:val="000000"/>
          <w:sz w:val="22"/>
          <w:szCs w:val="22"/>
          <w:lang w:val="uk-UA"/>
        </w:rPr>
        <w:t xml:space="preserve"> сумарн</w:t>
      </w:r>
      <w:r>
        <w:rPr>
          <w:rFonts w:ascii="Times New Roman" w:hAnsi="Times New Roman"/>
          <w:bCs/>
          <w:color w:val="000000"/>
          <w:sz w:val="22"/>
          <w:szCs w:val="22"/>
          <w:lang w:val="uk-UA"/>
        </w:rPr>
        <w:t>у</w:t>
      </w:r>
      <w:r w:rsidRPr="00CE40CB">
        <w:rPr>
          <w:rFonts w:ascii="Times New Roman" w:hAnsi="Times New Roman"/>
          <w:bCs/>
          <w:color w:val="000000"/>
          <w:sz w:val="22"/>
          <w:szCs w:val="22"/>
          <w:lang w:val="uk-UA"/>
        </w:rPr>
        <w:t xml:space="preserve"> величин</w:t>
      </w:r>
      <w:r>
        <w:rPr>
          <w:rFonts w:ascii="Times New Roman" w:hAnsi="Times New Roman"/>
          <w:bCs/>
          <w:color w:val="000000"/>
          <w:sz w:val="22"/>
          <w:szCs w:val="22"/>
          <w:lang w:val="uk-UA"/>
        </w:rPr>
        <w:t>у</w:t>
      </w:r>
      <w:r w:rsidRPr="00CE40CB">
        <w:rPr>
          <w:rFonts w:ascii="Times New Roman" w:hAnsi="Times New Roman"/>
          <w:bCs/>
          <w:color w:val="000000"/>
          <w:sz w:val="22"/>
          <w:szCs w:val="22"/>
          <w:lang w:val="uk-UA"/>
        </w:rPr>
        <w:t xml:space="preserve"> довгострокових та поточних зобов’язань і забезпечень</w:t>
      </w:r>
      <w:r>
        <w:rPr>
          <w:rFonts w:ascii="Times New Roman" w:hAnsi="Times New Roman"/>
          <w:bCs/>
          <w:color w:val="000000"/>
          <w:sz w:val="22"/>
          <w:szCs w:val="22"/>
          <w:lang w:val="uk-UA"/>
        </w:rPr>
        <w:t>.</w:t>
      </w:r>
    </w:p>
    <w:p w:rsidR="00CE40CB" w:rsidRDefault="00CE40CB" w:rsidP="00CE40CB">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120"/>
        <w:jc w:val="both"/>
        <w:textAlignment w:val="baseline"/>
        <w:rPr>
          <w:rFonts w:ascii="Times New Roman" w:hAnsi="Times New Roman"/>
          <w:bCs/>
          <w:color w:val="000000"/>
          <w:sz w:val="22"/>
          <w:szCs w:val="22"/>
          <w:lang w:val="uk-UA"/>
        </w:rPr>
      </w:pPr>
      <w:r w:rsidRPr="00CE40CB">
        <w:rPr>
          <w:rFonts w:ascii="Times New Roman" w:hAnsi="Times New Roman"/>
          <w:bCs/>
          <w:color w:val="000000"/>
          <w:sz w:val="22"/>
          <w:szCs w:val="22"/>
          <w:lang w:val="uk-UA"/>
        </w:rPr>
        <w:t xml:space="preserve">Норматив диверсифікованості активів </w:t>
      </w:r>
      <w:r>
        <w:rPr>
          <w:rFonts w:ascii="Times New Roman" w:hAnsi="Times New Roman"/>
          <w:bCs/>
          <w:color w:val="000000"/>
          <w:sz w:val="22"/>
          <w:szCs w:val="22"/>
          <w:lang w:val="uk-UA"/>
        </w:rPr>
        <w:t>станом на кінець звітного періоду перевищує</w:t>
      </w:r>
      <w:r w:rsidRPr="00CE40CB">
        <w:rPr>
          <w:rFonts w:ascii="Times New Roman" w:hAnsi="Times New Roman"/>
          <w:bCs/>
          <w:color w:val="000000"/>
          <w:sz w:val="22"/>
          <w:szCs w:val="22"/>
          <w:lang w:val="uk-UA"/>
        </w:rPr>
        <w:t xml:space="preserve"> величин</w:t>
      </w:r>
      <w:r>
        <w:rPr>
          <w:rFonts w:ascii="Times New Roman" w:hAnsi="Times New Roman"/>
          <w:bCs/>
          <w:color w:val="000000"/>
          <w:sz w:val="22"/>
          <w:szCs w:val="22"/>
          <w:lang w:val="uk-UA"/>
        </w:rPr>
        <w:t>у</w:t>
      </w:r>
      <w:r w:rsidRPr="00CE40CB">
        <w:rPr>
          <w:rFonts w:ascii="Times New Roman" w:hAnsi="Times New Roman"/>
          <w:bCs/>
          <w:color w:val="000000"/>
          <w:sz w:val="22"/>
          <w:szCs w:val="22"/>
          <w:lang w:val="uk-UA"/>
        </w:rPr>
        <w:t xml:space="preserve"> страхових резервів, що розраховується відповідно до законодавства з урахуванням вимог стандартів фінансової звітності.</w:t>
      </w:r>
    </w:p>
    <w:p w:rsidR="00CE40CB" w:rsidRDefault="00CE40CB" w:rsidP="00CE40CB">
      <w:pPr>
        <w:pStyle w:val="HTML"/>
        <w:shd w:val="clear" w:color="auto" w:fill="FFFFFF"/>
        <w:spacing w:after="120"/>
        <w:jc w:val="both"/>
        <w:textAlignment w:val="baseline"/>
        <w:rPr>
          <w:rFonts w:ascii="Times New Roman" w:hAnsi="Times New Roman"/>
          <w:bCs/>
          <w:color w:val="000000"/>
          <w:sz w:val="22"/>
          <w:szCs w:val="22"/>
          <w:lang w:val="uk-UA"/>
        </w:rPr>
      </w:pPr>
      <w:r w:rsidRPr="00CE40CB">
        <w:rPr>
          <w:rFonts w:ascii="Times New Roman" w:hAnsi="Times New Roman"/>
          <w:bCs/>
          <w:color w:val="000000"/>
          <w:sz w:val="22"/>
          <w:szCs w:val="22"/>
          <w:lang w:val="uk-UA"/>
        </w:rPr>
        <w:t>Фактичний запас платоспроможності на кінець звітного періоду</w:t>
      </w:r>
      <w:r>
        <w:rPr>
          <w:rFonts w:ascii="Times New Roman" w:hAnsi="Times New Roman"/>
          <w:bCs/>
          <w:color w:val="000000"/>
          <w:sz w:val="22"/>
          <w:szCs w:val="22"/>
          <w:lang w:val="uk-UA"/>
        </w:rPr>
        <w:t xml:space="preserve"> перевищує н</w:t>
      </w:r>
      <w:r w:rsidRPr="00CE40CB">
        <w:rPr>
          <w:rFonts w:ascii="Times New Roman" w:hAnsi="Times New Roman"/>
          <w:bCs/>
          <w:color w:val="000000"/>
          <w:sz w:val="22"/>
          <w:szCs w:val="22"/>
          <w:lang w:val="uk-UA"/>
        </w:rPr>
        <w:t>ормативний запас платоспроможності</w:t>
      </w:r>
      <w:r>
        <w:rPr>
          <w:rFonts w:ascii="Times New Roman" w:hAnsi="Times New Roman"/>
          <w:bCs/>
          <w:color w:val="000000"/>
          <w:sz w:val="22"/>
          <w:szCs w:val="22"/>
          <w:lang w:val="uk-UA"/>
        </w:rPr>
        <w:t>.</w:t>
      </w:r>
    </w:p>
    <w:p w:rsidR="00CE40CB" w:rsidRDefault="00CE40CB" w:rsidP="00CE40CB">
      <w:pPr>
        <w:pStyle w:val="HTML"/>
        <w:shd w:val="clear" w:color="auto" w:fill="FFFFFF"/>
        <w:spacing w:after="120"/>
        <w:jc w:val="both"/>
        <w:textAlignment w:val="baseline"/>
        <w:rPr>
          <w:rFonts w:ascii="Times New Roman" w:hAnsi="Times New Roman"/>
          <w:bCs/>
          <w:color w:val="000000"/>
          <w:sz w:val="22"/>
          <w:szCs w:val="22"/>
          <w:lang w:val="uk-UA"/>
        </w:rPr>
      </w:pPr>
      <w:r>
        <w:rPr>
          <w:rFonts w:ascii="Times New Roman" w:hAnsi="Times New Roman"/>
          <w:bCs/>
          <w:color w:val="000000"/>
          <w:sz w:val="22"/>
          <w:szCs w:val="22"/>
          <w:lang w:val="uk-UA"/>
        </w:rPr>
        <w:t xml:space="preserve">Величина </w:t>
      </w:r>
      <w:r w:rsidR="000F4340">
        <w:rPr>
          <w:rFonts w:ascii="Times New Roman" w:hAnsi="Times New Roman"/>
          <w:bCs/>
          <w:color w:val="000000"/>
          <w:sz w:val="22"/>
          <w:szCs w:val="22"/>
          <w:lang w:val="uk-UA"/>
        </w:rPr>
        <w:t xml:space="preserve">статутного капіталу товариства перевищує мінімальний розмір, встановлений для страховиків, </w:t>
      </w:r>
      <w:r w:rsidR="000F4340" w:rsidRPr="000F4340">
        <w:rPr>
          <w:rFonts w:ascii="Times New Roman" w:hAnsi="Times New Roman"/>
          <w:bCs/>
          <w:color w:val="000000"/>
          <w:sz w:val="22"/>
          <w:szCs w:val="22"/>
          <w:lang w:val="uk-UA"/>
        </w:rPr>
        <w:t>як</w:t>
      </w:r>
      <w:r w:rsidR="000F4340">
        <w:rPr>
          <w:rFonts w:ascii="Times New Roman" w:hAnsi="Times New Roman"/>
          <w:bCs/>
          <w:color w:val="000000"/>
          <w:sz w:val="22"/>
          <w:szCs w:val="22"/>
          <w:lang w:val="uk-UA"/>
        </w:rPr>
        <w:t>і займаю</w:t>
      </w:r>
      <w:r w:rsidR="000F4340" w:rsidRPr="000F4340">
        <w:rPr>
          <w:rFonts w:ascii="Times New Roman" w:hAnsi="Times New Roman"/>
          <w:bCs/>
          <w:color w:val="000000"/>
          <w:sz w:val="22"/>
          <w:szCs w:val="22"/>
          <w:lang w:val="uk-UA"/>
        </w:rPr>
        <w:t>ться видами страхування іншими, ніж страхування життя</w:t>
      </w:r>
      <w:r w:rsidR="000F4340">
        <w:rPr>
          <w:rFonts w:ascii="Times New Roman" w:hAnsi="Times New Roman"/>
          <w:bCs/>
          <w:color w:val="000000"/>
          <w:sz w:val="22"/>
          <w:szCs w:val="22"/>
          <w:lang w:val="uk-UA"/>
        </w:rPr>
        <w:t>.</w:t>
      </w:r>
    </w:p>
    <w:p w:rsidR="00D452E9" w:rsidRDefault="00480C9D" w:rsidP="00CE40CB">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120"/>
        <w:jc w:val="both"/>
        <w:textAlignment w:val="baseline"/>
        <w:rPr>
          <w:rFonts w:ascii="Times New Roman" w:hAnsi="Times New Roman"/>
          <w:bCs/>
          <w:color w:val="000000"/>
          <w:sz w:val="22"/>
          <w:szCs w:val="22"/>
          <w:lang w:val="uk-UA"/>
        </w:rPr>
      </w:pPr>
      <w:r>
        <w:rPr>
          <w:rFonts w:ascii="Times New Roman" w:hAnsi="Times New Roman"/>
          <w:bCs/>
          <w:color w:val="000000"/>
          <w:sz w:val="22"/>
          <w:szCs w:val="22"/>
          <w:lang w:val="uk-UA"/>
        </w:rPr>
        <w:t xml:space="preserve">Грошові кошти Товариства на поточних та депозитних рахунках розміщені у банках, </w:t>
      </w:r>
      <w:r w:rsidRPr="00480C9D">
        <w:rPr>
          <w:rFonts w:ascii="Times New Roman" w:hAnsi="Times New Roman"/>
          <w:bCs/>
          <w:color w:val="000000"/>
          <w:sz w:val="22"/>
          <w:szCs w:val="22"/>
          <w:lang w:val="uk-UA"/>
        </w:rPr>
        <w:t>кредитний рейтинг як</w:t>
      </w:r>
      <w:r w:rsidR="000F4340">
        <w:rPr>
          <w:rFonts w:ascii="Times New Roman" w:hAnsi="Times New Roman"/>
          <w:bCs/>
          <w:color w:val="000000"/>
          <w:sz w:val="22"/>
          <w:szCs w:val="22"/>
          <w:lang w:val="uk-UA"/>
        </w:rPr>
        <w:t>их</w:t>
      </w:r>
      <w:r w:rsidRPr="00480C9D">
        <w:rPr>
          <w:rFonts w:ascii="Times New Roman" w:hAnsi="Times New Roman"/>
          <w:bCs/>
          <w:color w:val="000000"/>
          <w:sz w:val="22"/>
          <w:szCs w:val="22"/>
          <w:lang w:val="uk-UA"/>
        </w:rPr>
        <w:t xml:space="preserve"> відповідає інвестиційному рівню за Національною рейтинговою шкалою, затвердженою постановою Кабінету Міністрів України від 26 квітня 2007 року № 665</w:t>
      </w:r>
      <w:r>
        <w:rPr>
          <w:rFonts w:ascii="Times New Roman" w:hAnsi="Times New Roman"/>
          <w:bCs/>
          <w:color w:val="000000"/>
          <w:sz w:val="22"/>
          <w:szCs w:val="22"/>
          <w:lang w:val="uk-UA"/>
        </w:rPr>
        <w:t>.</w:t>
      </w:r>
    </w:p>
    <w:p w:rsidR="000F4340" w:rsidRDefault="000F4340" w:rsidP="00CE40CB">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120"/>
        <w:jc w:val="both"/>
        <w:textAlignment w:val="baseline"/>
        <w:rPr>
          <w:rFonts w:ascii="Times New Roman" w:hAnsi="Times New Roman"/>
          <w:bCs/>
          <w:color w:val="000000"/>
          <w:sz w:val="22"/>
          <w:szCs w:val="22"/>
          <w:lang w:val="uk-UA"/>
        </w:rPr>
      </w:pPr>
      <w:r>
        <w:rPr>
          <w:rFonts w:ascii="Times New Roman" w:hAnsi="Times New Roman"/>
          <w:bCs/>
          <w:color w:val="000000"/>
          <w:sz w:val="22"/>
          <w:szCs w:val="22"/>
          <w:lang w:val="uk-UA"/>
        </w:rPr>
        <w:t>Сформовані резерви розміщені переважно на поточних та депозитних рахунках, решта – у правах вимоги до перестраховиків.</w:t>
      </w:r>
    </w:p>
    <w:p w:rsidR="00480C9D" w:rsidRDefault="00480C9D" w:rsidP="008A1C8A">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textAlignment w:val="baseline"/>
        <w:rPr>
          <w:rFonts w:ascii="Times New Roman" w:hAnsi="Times New Roman"/>
          <w:bCs/>
          <w:color w:val="000000"/>
          <w:sz w:val="22"/>
          <w:szCs w:val="22"/>
          <w:lang w:val="uk-UA"/>
        </w:rPr>
      </w:pPr>
    </w:p>
    <w:p w:rsidR="008A1C8A" w:rsidRPr="00AE1300" w:rsidRDefault="00384F4B" w:rsidP="00384F4B">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textAlignment w:val="baseline"/>
        <w:rPr>
          <w:rFonts w:ascii="Times New Roman" w:hAnsi="Times New Roman"/>
          <w:bCs/>
          <w:i/>
          <w:color w:val="000000"/>
          <w:sz w:val="22"/>
          <w:szCs w:val="22"/>
          <w:lang w:val="uk-UA"/>
        </w:rPr>
      </w:pPr>
      <w:r w:rsidRPr="00AE1300">
        <w:rPr>
          <w:rFonts w:ascii="Times New Roman" w:hAnsi="Times New Roman"/>
          <w:bCs/>
          <w:i/>
          <w:color w:val="000000"/>
          <w:sz w:val="22"/>
          <w:szCs w:val="22"/>
          <w:lang w:val="uk-UA"/>
        </w:rPr>
        <w:t>Дотримання вимог до організації і функціонування системи управління ризиками у страховика</w:t>
      </w:r>
    </w:p>
    <w:p w:rsidR="00384F4B" w:rsidRDefault="00384F4B" w:rsidP="00BC1693">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textAlignment w:val="baseline"/>
        <w:rPr>
          <w:rFonts w:ascii="Times New Roman" w:hAnsi="Times New Roman"/>
          <w:bCs/>
          <w:color w:val="000000"/>
          <w:sz w:val="22"/>
          <w:szCs w:val="22"/>
          <w:lang w:val="uk-UA"/>
        </w:rPr>
      </w:pPr>
    </w:p>
    <w:p w:rsidR="008441BE" w:rsidRDefault="008441BE" w:rsidP="001E0DB0">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120"/>
        <w:jc w:val="both"/>
        <w:textAlignment w:val="baseline"/>
        <w:rPr>
          <w:rFonts w:ascii="Times New Roman" w:hAnsi="Times New Roman"/>
          <w:bCs/>
          <w:color w:val="000000"/>
          <w:sz w:val="22"/>
          <w:szCs w:val="22"/>
          <w:lang w:val="uk-UA"/>
        </w:rPr>
      </w:pPr>
      <w:r>
        <w:rPr>
          <w:rFonts w:ascii="Times New Roman" w:hAnsi="Times New Roman"/>
          <w:bCs/>
          <w:color w:val="000000"/>
          <w:sz w:val="22"/>
          <w:szCs w:val="22"/>
          <w:lang w:val="uk-UA"/>
        </w:rPr>
        <w:t xml:space="preserve">З 2014 року Товариством запроваджено систему управління ризиками відповідно до </w:t>
      </w:r>
      <w:r w:rsidR="003D7A7D">
        <w:rPr>
          <w:rFonts w:ascii="Times New Roman" w:hAnsi="Times New Roman"/>
          <w:bCs/>
          <w:color w:val="000000"/>
          <w:sz w:val="22"/>
          <w:szCs w:val="22"/>
          <w:lang w:val="uk-UA"/>
        </w:rPr>
        <w:t>"</w:t>
      </w:r>
      <w:r w:rsidR="003D7A7D" w:rsidRPr="003D7A7D">
        <w:rPr>
          <w:rFonts w:ascii="Times New Roman" w:hAnsi="Times New Roman"/>
          <w:bCs/>
          <w:color w:val="000000"/>
          <w:sz w:val="22"/>
          <w:szCs w:val="22"/>
          <w:lang w:val="uk-UA"/>
        </w:rPr>
        <w:t>Вимог до організації і функціонування системи управління ризиками у страховика</w:t>
      </w:r>
      <w:r w:rsidR="003D7A7D">
        <w:rPr>
          <w:rFonts w:ascii="Times New Roman" w:hAnsi="Times New Roman"/>
          <w:bCs/>
          <w:color w:val="000000"/>
          <w:sz w:val="22"/>
          <w:szCs w:val="22"/>
          <w:lang w:val="uk-UA"/>
        </w:rPr>
        <w:t xml:space="preserve">", затверджених Розпорядженням </w:t>
      </w:r>
      <w:r w:rsidR="003D7A7D" w:rsidRPr="003D7A7D">
        <w:rPr>
          <w:rFonts w:ascii="Times New Roman" w:hAnsi="Times New Roman"/>
          <w:bCs/>
          <w:color w:val="000000"/>
          <w:sz w:val="22"/>
          <w:szCs w:val="22"/>
          <w:lang w:val="uk-UA"/>
        </w:rPr>
        <w:t>Національн</w:t>
      </w:r>
      <w:r w:rsidR="003D7A7D">
        <w:rPr>
          <w:rFonts w:ascii="Times New Roman" w:hAnsi="Times New Roman"/>
          <w:bCs/>
          <w:color w:val="000000"/>
          <w:sz w:val="22"/>
          <w:szCs w:val="22"/>
          <w:lang w:val="uk-UA"/>
        </w:rPr>
        <w:t>ої</w:t>
      </w:r>
      <w:r w:rsidR="003D7A7D" w:rsidRPr="003D7A7D">
        <w:rPr>
          <w:rFonts w:ascii="Times New Roman" w:hAnsi="Times New Roman"/>
          <w:bCs/>
          <w:color w:val="000000"/>
          <w:sz w:val="22"/>
          <w:szCs w:val="22"/>
          <w:lang w:val="uk-UA"/>
        </w:rPr>
        <w:t xml:space="preserve"> комісію, що здійснює державне регулювання у сфері ринків фінансових послуг</w:t>
      </w:r>
      <w:r w:rsidR="003D7A7D">
        <w:rPr>
          <w:rFonts w:ascii="Times New Roman" w:hAnsi="Times New Roman"/>
          <w:bCs/>
          <w:color w:val="000000"/>
          <w:sz w:val="22"/>
          <w:szCs w:val="22"/>
          <w:lang w:val="uk-UA"/>
        </w:rPr>
        <w:t xml:space="preserve"> від </w:t>
      </w:r>
      <w:r w:rsidR="003D7A7D" w:rsidRPr="003D7A7D">
        <w:rPr>
          <w:rFonts w:ascii="Times New Roman" w:hAnsi="Times New Roman"/>
          <w:bCs/>
          <w:color w:val="000000"/>
          <w:sz w:val="22"/>
          <w:szCs w:val="22"/>
          <w:lang w:val="uk-UA"/>
        </w:rPr>
        <w:t>04.02.2014  № 295</w:t>
      </w:r>
      <w:r w:rsidR="003D7A7D">
        <w:rPr>
          <w:rFonts w:ascii="Times New Roman" w:hAnsi="Times New Roman"/>
          <w:bCs/>
          <w:color w:val="000000"/>
          <w:sz w:val="22"/>
          <w:szCs w:val="22"/>
          <w:lang w:val="uk-UA"/>
        </w:rPr>
        <w:t>. З цією метою Товариством розроблено внутрішні документи, які регулярно оновлюються.</w:t>
      </w:r>
    </w:p>
    <w:p w:rsidR="000F4340" w:rsidRDefault="000F4340" w:rsidP="001E0DB0">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120"/>
        <w:jc w:val="both"/>
        <w:textAlignment w:val="baseline"/>
        <w:rPr>
          <w:rFonts w:ascii="Times New Roman" w:hAnsi="Times New Roman"/>
          <w:bCs/>
          <w:color w:val="000000"/>
          <w:sz w:val="22"/>
          <w:szCs w:val="22"/>
          <w:lang w:val="uk-UA"/>
        </w:rPr>
      </w:pPr>
      <w:r w:rsidRPr="000F4340">
        <w:rPr>
          <w:rFonts w:ascii="Times New Roman" w:hAnsi="Times New Roman"/>
          <w:bCs/>
          <w:color w:val="000000"/>
          <w:sz w:val="22"/>
          <w:szCs w:val="22"/>
          <w:lang w:val="uk-UA"/>
        </w:rPr>
        <w:t xml:space="preserve">Стратегія управління ризиками </w:t>
      </w:r>
      <w:r>
        <w:rPr>
          <w:rFonts w:ascii="Times New Roman" w:hAnsi="Times New Roman"/>
          <w:bCs/>
          <w:color w:val="000000"/>
          <w:sz w:val="22"/>
          <w:szCs w:val="22"/>
          <w:lang w:val="uk-UA"/>
        </w:rPr>
        <w:t>Товариства</w:t>
      </w:r>
      <w:r w:rsidR="0045098D">
        <w:rPr>
          <w:rFonts w:ascii="Times New Roman" w:hAnsi="Times New Roman"/>
          <w:bCs/>
          <w:color w:val="000000"/>
          <w:sz w:val="22"/>
          <w:szCs w:val="22"/>
          <w:lang w:val="uk-UA"/>
        </w:rPr>
        <w:t>, нова редакція,</w:t>
      </w:r>
      <w:r>
        <w:rPr>
          <w:rFonts w:ascii="Times New Roman" w:hAnsi="Times New Roman"/>
          <w:bCs/>
          <w:color w:val="000000"/>
          <w:sz w:val="22"/>
          <w:szCs w:val="22"/>
          <w:lang w:val="uk-UA"/>
        </w:rPr>
        <w:t xml:space="preserve"> </w:t>
      </w:r>
      <w:r w:rsidR="0045098D">
        <w:rPr>
          <w:rFonts w:ascii="Times New Roman" w:hAnsi="Times New Roman"/>
          <w:bCs/>
          <w:color w:val="000000"/>
          <w:sz w:val="22"/>
          <w:szCs w:val="22"/>
          <w:lang w:val="uk-UA"/>
        </w:rPr>
        <w:t xml:space="preserve">(далі - Стратегія) </w:t>
      </w:r>
      <w:r w:rsidRPr="000F4340">
        <w:rPr>
          <w:rFonts w:ascii="Times New Roman" w:hAnsi="Times New Roman"/>
          <w:bCs/>
          <w:color w:val="000000"/>
          <w:sz w:val="22"/>
          <w:szCs w:val="22"/>
          <w:lang w:val="uk-UA"/>
        </w:rPr>
        <w:t>затвердж</w:t>
      </w:r>
      <w:r>
        <w:rPr>
          <w:rFonts w:ascii="Times New Roman" w:hAnsi="Times New Roman"/>
          <w:bCs/>
          <w:color w:val="000000"/>
          <w:sz w:val="22"/>
          <w:szCs w:val="22"/>
          <w:lang w:val="uk-UA"/>
        </w:rPr>
        <w:t>ена</w:t>
      </w:r>
      <w:r w:rsidRPr="000F4340">
        <w:rPr>
          <w:rFonts w:ascii="Times New Roman" w:hAnsi="Times New Roman"/>
          <w:bCs/>
          <w:color w:val="000000"/>
          <w:sz w:val="22"/>
          <w:szCs w:val="22"/>
          <w:lang w:val="uk-UA"/>
        </w:rPr>
        <w:t xml:space="preserve"> рішенням наглядової ради</w:t>
      </w:r>
      <w:r>
        <w:rPr>
          <w:rFonts w:ascii="Times New Roman" w:hAnsi="Times New Roman"/>
          <w:bCs/>
          <w:color w:val="000000"/>
          <w:sz w:val="22"/>
          <w:szCs w:val="22"/>
          <w:lang w:val="uk-UA"/>
        </w:rPr>
        <w:t xml:space="preserve"> від </w:t>
      </w:r>
      <w:r w:rsidR="0045098D">
        <w:rPr>
          <w:rFonts w:ascii="Times New Roman" w:hAnsi="Times New Roman"/>
          <w:bCs/>
          <w:color w:val="000000"/>
          <w:sz w:val="22"/>
          <w:szCs w:val="22"/>
          <w:lang w:val="uk-UA"/>
        </w:rPr>
        <w:t>04.01.2017 року (протокол №1-01/2017)</w:t>
      </w:r>
    </w:p>
    <w:p w:rsidR="00856A8C" w:rsidRDefault="003D7A7D" w:rsidP="001E0DB0">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120"/>
        <w:jc w:val="both"/>
        <w:textAlignment w:val="baseline"/>
        <w:rPr>
          <w:rFonts w:ascii="Times New Roman" w:hAnsi="Times New Roman"/>
          <w:bCs/>
          <w:color w:val="000000"/>
          <w:sz w:val="22"/>
          <w:szCs w:val="22"/>
          <w:lang w:val="uk-UA"/>
        </w:rPr>
      </w:pPr>
      <w:r>
        <w:rPr>
          <w:rFonts w:ascii="Times New Roman" w:hAnsi="Times New Roman"/>
          <w:bCs/>
          <w:color w:val="000000"/>
          <w:sz w:val="22"/>
          <w:szCs w:val="22"/>
          <w:lang w:val="uk-UA"/>
        </w:rPr>
        <w:t xml:space="preserve">З метою реалізації основних елементів системи </w:t>
      </w:r>
      <w:r w:rsidR="0045098D">
        <w:rPr>
          <w:rFonts w:ascii="Times New Roman" w:hAnsi="Times New Roman"/>
          <w:bCs/>
          <w:color w:val="000000"/>
          <w:sz w:val="22"/>
          <w:szCs w:val="22"/>
          <w:lang w:val="uk-UA"/>
        </w:rPr>
        <w:t xml:space="preserve">управління ризиками </w:t>
      </w:r>
      <w:r>
        <w:rPr>
          <w:rFonts w:ascii="Times New Roman" w:hAnsi="Times New Roman"/>
          <w:bCs/>
          <w:color w:val="000000"/>
          <w:sz w:val="22"/>
          <w:szCs w:val="22"/>
          <w:lang w:val="uk-UA"/>
        </w:rPr>
        <w:t>керівництвом Товариства затверджені</w:t>
      </w:r>
      <w:r w:rsidR="0045098D">
        <w:rPr>
          <w:rFonts w:ascii="Times New Roman" w:hAnsi="Times New Roman"/>
          <w:bCs/>
          <w:color w:val="000000"/>
          <w:sz w:val="22"/>
          <w:szCs w:val="22"/>
          <w:lang w:val="uk-UA"/>
        </w:rPr>
        <w:t xml:space="preserve"> </w:t>
      </w:r>
      <w:r>
        <w:rPr>
          <w:rFonts w:ascii="Times New Roman" w:hAnsi="Times New Roman"/>
          <w:bCs/>
          <w:color w:val="000000"/>
          <w:sz w:val="22"/>
          <w:szCs w:val="22"/>
          <w:lang w:val="uk-UA"/>
        </w:rPr>
        <w:t xml:space="preserve">внутрішні положення, зокрема </w:t>
      </w:r>
      <w:r w:rsidR="00856A8C">
        <w:rPr>
          <w:rFonts w:ascii="Times New Roman" w:hAnsi="Times New Roman"/>
          <w:bCs/>
          <w:color w:val="000000"/>
          <w:sz w:val="22"/>
          <w:szCs w:val="22"/>
          <w:lang w:val="uk-UA"/>
        </w:rPr>
        <w:t>Правила ідентифікації та оцінки ризиків</w:t>
      </w:r>
      <w:r w:rsidR="0045098D">
        <w:rPr>
          <w:rFonts w:ascii="Times New Roman" w:hAnsi="Times New Roman"/>
          <w:bCs/>
          <w:color w:val="000000"/>
          <w:sz w:val="22"/>
          <w:szCs w:val="22"/>
          <w:lang w:val="uk-UA"/>
        </w:rPr>
        <w:t xml:space="preserve">; </w:t>
      </w:r>
      <w:r w:rsidR="00856A8C">
        <w:rPr>
          <w:rFonts w:ascii="Times New Roman" w:hAnsi="Times New Roman"/>
          <w:bCs/>
          <w:color w:val="000000"/>
          <w:sz w:val="22"/>
          <w:szCs w:val="22"/>
          <w:lang w:val="uk-UA"/>
        </w:rPr>
        <w:t>Політик</w:t>
      </w:r>
      <w:r>
        <w:rPr>
          <w:rFonts w:ascii="Times New Roman" w:hAnsi="Times New Roman"/>
          <w:bCs/>
          <w:color w:val="000000"/>
          <w:sz w:val="22"/>
          <w:szCs w:val="22"/>
          <w:lang w:val="uk-UA"/>
        </w:rPr>
        <w:t>а</w:t>
      </w:r>
      <w:r w:rsidR="00856A8C">
        <w:rPr>
          <w:rFonts w:ascii="Times New Roman" w:hAnsi="Times New Roman"/>
          <w:bCs/>
          <w:color w:val="000000"/>
          <w:sz w:val="22"/>
          <w:szCs w:val="22"/>
          <w:lang w:val="uk-UA"/>
        </w:rPr>
        <w:t xml:space="preserve"> управління активами і пасивами</w:t>
      </w:r>
      <w:r w:rsidR="00002997">
        <w:rPr>
          <w:rFonts w:ascii="Times New Roman" w:hAnsi="Times New Roman"/>
          <w:bCs/>
          <w:color w:val="000000"/>
          <w:sz w:val="22"/>
          <w:szCs w:val="22"/>
          <w:lang w:val="uk-UA"/>
        </w:rPr>
        <w:t xml:space="preserve">; Положення про </w:t>
      </w:r>
      <w:proofErr w:type="spellStart"/>
      <w:r w:rsidR="00002997">
        <w:rPr>
          <w:rFonts w:ascii="Times New Roman" w:hAnsi="Times New Roman"/>
          <w:bCs/>
          <w:color w:val="000000"/>
          <w:sz w:val="22"/>
          <w:szCs w:val="22"/>
          <w:lang w:val="uk-UA"/>
        </w:rPr>
        <w:t>анде</w:t>
      </w:r>
      <w:r w:rsidR="0045098D">
        <w:rPr>
          <w:rFonts w:ascii="Times New Roman" w:hAnsi="Times New Roman"/>
          <w:bCs/>
          <w:color w:val="000000"/>
          <w:sz w:val="22"/>
          <w:szCs w:val="22"/>
          <w:lang w:val="uk-UA"/>
        </w:rPr>
        <w:t>райтингову</w:t>
      </w:r>
      <w:proofErr w:type="spellEnd"/>
      <w:r w:rsidR="0045098D">
        <w:rPr>
          <w:rFonts w:ascii="Times New Roman" w:hAnsi="Times New Roman"/>
          <w:bCs/>
          <w:color w:val="000000"/>
          <w:sz w:val="22"/>
          <w:szCs w:val="22"/>
          <w:lang w:val="uk-UA"/>
        </w:rPr>
        <w:t xml:space="preserve"> політику; Інвестиційн</w:t>
      </w:r>
      <w:r>
        <w:rPr>
          <w:rFonts w:ascii="Times New Roman" w:hAnsi="Times New Roman"/>
          <w:bCs/>
          <w:color w:val="000000"/>
          <w:sz w:val="22"/>
          <w:szCs w:val="22"/>
          <w:lang w:val="uk-UA"/>
        </w:rPr>
        <w:t>а</w:t>
      </w:r>
      <w:r w:rsidR="0045098D">
        <w:rPr>
          <w:rFonts w:ascii="Times New Roman" w:hAnsi="Times New Roman"/>
          <w:bCs/>
          <w:color w:val="000000"/>
          <w:sz w:val="22"/>
          <w:szCs w:val="22"/>
          <w:lang w:val="uk-UA"/>
        </w:rPr>
        <w:t xml:space="preserve"> політик</w:t>
      </w:r>
      <w:r>
        <w:rPr>
          <w:rFonts w:ascii="Times New Roman" w:hAnsi="Times New Roman"/>
          <w:bCs/>
          <w:color w:val="000000"/>
          <w:sz w:val="22"/>
          <w:szCs w:val="22"/>
          <w:lang w:val="uk-UA"/>
        </w:rPr>
        <w:t>а</w:t>
      </w:r>
      <w:r w:rsidR="0045098D">
        <w:rPr>
          <w:rFonts w:ascii="Times New Roman" w:hAnsi="Times New Roman"/>
          <w:bCs/>
          <w:color w:val="000000"/>
          <w:sz w:val="22"/>
          <w:szCs w:val="22"/>
          <w:lang w:val="uk-UA"/>
        </w:rPr>
        <w:t>; Положення про перестрахування; Положення про формування страхових резервів; Модулі розрахунку кількісних характеристик ризиків</w:t>
      </w:r>
      <w:r>
        <w:rPr>
          <w:rFonts w:ascii="Times New Roman" w:hAnsi="Times New Roman"/>
          <w:bCs/>
          <w:color w:val="000000"/>
          <w:sz w:val="22"/>
          <w:szCs w:val="22"/>
          <w:lang w:val="uk-UA"/>
        </w:rPr>
        <w:t>.</w:t>
      </w:r>
      <w:r w:rsidR="0045098D">
        <w:rPr>
          <w:rFonts w:ascii="Times New Roman" w:hAnsi="Times New Roman"/>
          <w:bCs/>
          <w:color w:val="000000"/>
          <w:sz w:val="22"/>
          <w:szCs w:val="22"/>
          <w:lang w:val="uk-UA"/>
        </w:rPr>
        <w:t xml:space="preserve">  </w:t>
      </w:r>
      <w:r>
        <w:rPr>
          <w:rFonts w:ascii="Times New Roman" w:hAnsi="Times New Roman"/>
          <w:bCs/>
          <w:color w:val="000000"/>
          <w:sz w:val="22"/>
          <w:szCs w:val="22"/>
          <w:lang w:val="uk-UA"/>
        </w:rPr>
        <w:t xml:space="preserve">Остання редакція цих положень </w:t>
      </w:r>
      <w:r w:rsidR="0045098D">
        <w:rPr>
          <w:rFonts w:ascii="Times New Roman" w:hAnsi="Times New Roman"/>
          <w:bCs/>
          <w:color w:val="000000"/>
          <w:sz w:val="22"/>
          <w:szCs w:val="22"/>
          <w:lang w:val="uk-UA"/>
        </w:rPr>
        <w:t>затверджен</w:t>
      </w:r>
      <w:r>
        <w:rPr>
          <w:rFonts w:ascii="Times New Roman" w:hAnsi="Times New Roman"/>
          <w:bCs/>
          <w:color w:val="000000"/>
          <w:sz w:val="22"/>
          <w:szCs w:val="22"/>
          <w:lang w:val="uk-UA"/>
        </w:rPr>
        <w:t>а</w:t>
      </w:r>
      <w:r w:rsidR="0045098D">
        <w:rPr>
          <w:rFonts w:ascii="Times New Roman" w:hAnsi="Times New Roman"/>
          <w:bCs/>
          <w:color w:val="000000"/>
          <w:sz w:val="22"/>
          <w:szCs w:val="22"/>
          <w:lang w:val="uk-UA"/>
        </w:rPr>
        <w:t xml:space="preserve"> головою правління Товариства 16.01.2017.</w:t>
      </w:r>
    </w:p>
    <w:p w:rsidR="003D7A7D" w:rsidRDefault="003D7A7D" w:rsidP="001E0DB0">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120"/>
        <w:jc w:val="both"/>
        <w:textAlignment w:val="baseline"/>
        <w:rPr>
          <w:rFonts w:ascii="Times New Roman" w:hAnsi="Times New Roman"/>
          <w:bCs/>
          <w:color w:val="000000"/>
          <w:sz w:val="22"/>
          <w:szCs w:val="22"/>
          <w:lang w:val="uk-UA"/>
        </w:rPr>
      </w:pPr>
      <w:r>
        <w:rPr>
          <w:rFonts w:ascii="Times New Roman" w:hAnsi="Times New Roman"/>
          <w:bCs/>
          <w:color w:val="000000"/>
          <w:sz w:val="22"/>
          <w:szCs w:val="22"/>
          <w:lang w:val="uk-UA"/>
        </w:rPr>
        <w:t>Відповідальною особою за оцінку ризиків є Голова Правління Товариства.</w:t>
      </w:r>
    </w:p>
    <w:p w:rsidR="0045098D" w:rsidRDefault="0045098D" w:rsidP="00BC1693">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textAlignment w:val="baseline"/>
        <w:rPr>
          <w:rFonts w:ascii="Times New Roman" w:hAnsi="Times New Roman"/>
          <w:bCs/>
          <w:color w:val="000000"/>
          <w:sz w:val="22"/>
          <w:szCs w:val="22"/>
          <w:lang w:val="uk-UA"/>
        </w:rPr>
      </w:pPr>
      <w:r>
        <w:rPr>
          <w:rFonts w:ascii="Times New Roman" w:hAnsi="Times New Roman"/>
          <w:bCs/>
          <w:color w:val="000000"/>
          <w:sz w:val="22"/>
          <w:szCs w:val="22"/>
          <w:lang w:val="uk-UA"/>
        </w:rPr>
        <w:t>Щорічно Товариством складається карта ризиків та звіт по управлінню ризиками за відповідний рік.</w:t>
      </w:r>
    </w:p>
    <w:p w:rsidR="00856A8C" w:rsidRDefault="00856A8C" w:rsidP="00BC1693">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textAlignment w:val="baseline"/>
        <w:rPr>
          <w:rFonts w:ascii="Times New Roman" w:hAnsi="Times New Roman"/>
          <w:bCs/>
          <w:color w:val="000000"/>
          <w:sz w:val="22"/>
          <w:szCs w:val="22"/>
          <w:lang w:val="uk-UA"/>
        </w:rPr>
      </w:pPr>
    </w:p>
    <w:p w:rsidR="00856A8C" w:rsidRDefault="00856A8C" w:rsidP="00BC1693">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textAlignment w:val="baseline"/>
        <w:rPr>
          <w:rFonts w:ascii="Times New Roman" w:hAnsi="Times New Roman"/>
          <w:bCs/>
          <w:color w:val="000000"/>
          <w:sz w:val="22"/>
          <w:szCs w:val="22"/>
          <w:lang w:val="uk-UA"/>
        </w:rPr>
      </w:pPr>
    </w:p>
    <w:p w:rsidR="00856A8C" w:rsidRDefault="00856A8C" w:rsidP="00BC1693">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textAlignment w:val="baseline"/>
        <w:rPr>
          <w:rFonts w:ascii="Times New Roman" w:hAnsi="Times New Roman"/>
          <w:bCs/>
          <w:color w:val="000000"/>
          <w:sz w:val="22"/>
          <w:szCs w:val="22"/>
          <w:lang w:val="uk-UA"/>
        </w:rPr>
      </w:pPr>
      <w:r>
        <w:rPr>
          <w:rFonts w:ascii="Times New Roman" w:hAnsi="Times New Roman"/>
          <w:bCs/>
          <w:color w:val="000000"/>
          <w:sz w:val="22"/>
          <w:szCs w:val="22"/>
          <w:lang w:val="uk-UA"/>
        </w:rPr>
        <w:t xml:space="preserve"> </w:t>
      </w:r>
      <w:r w:rsidR="0045098D">
        <w:rPr>
          <w:rFonts w:ascii="Times New Roman" w:hAnsi="Times New Roman"/>
          <w:bCs/>
          <w:color w:val="000000"/>
          <w:sz w:val="22"/>
          <w:szCs w:val="22"/>
          <w:lang w:val="uk-UA"/>
        </w:rPr>
        <w:t xml:space="preserve"> </w:t>
      </w:r>
    </w:p>
    <w:p w:rsidR="000F4340" w:rsidRDefault="000F4340" w:rsidP="00BC1693">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textAlignment w:val="baseline"/>
        <w:rPr>
          <w:rFonts w:ascii="Times New Roman" w:hAnsi="Times New Roman"/>
          <w:bCs/>
          <w:color w:val="000000"/>
          <w:sz w:val="22"/>
          <w:szCs w:val="22"/>
          <w:lang w:val="uk-UA"/>
        </w:rPr>
      </w:pPr>
    </w:p>
    <w:p w:rsidR="000F4340" w:rsidRDefault="000F4340" w:rsidP="00BC1693">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textAlignment w:val="baseline"/>
        <w:rPr>
          <w:rFonts w:ascii="Times New Roman" w:hAnsi="Times New Roman"/>
          <w:bCs/>
          <w:color w:val="000000"/>
          <w:sz w:val="22"/>
          <w:szCs w:val="22"/>
          <w:lang w:val="uk-UA"/>
        </w:rPr>
      </w:pPr>
    </w:p>
    <w:p w:rsidR="00BC1693" w:rsidRPr="00D87BB1" w:rsidRDefault="00BC1693" w:rsidP="00BC1693">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textAlignment w:val="baseline"/>
        <w:rPr>
          <w:rFonts w:ascii="Times New Roman" w:hAnsi="Times New Roman"/>
          <w:bCs/>
          <w:color w:val="000000"/>
          <w:sz w:val="22"/>
          <w:szCs w:val="22"/>
          <w:lang w:val="uk-UA"/>
        </w:rPr>
      </w:pPr>
      <w:r w:rsidRPr="00D87BB1">
        <w:rPr>
          <w:rFonts w:ascii="Times New Roman" w:hAnsi="Times New Roman"/>
          <w:bCs/>
          <w:color w:val="000000"/>
          <w:sz w:val="22"/>
          <w:szCs w:val="22"/>
          <w:lang w:val="uk-UA"/>
        </w:rPr>
        <w:t>Партнером із завдання</w:t>
      </w:r>
      <w:r>
        <w:rPr>
          <w:rFonts w:ascii="Times New Roman" w:hAnsi="Times New Roman"/>
          <w:bCs/>
          <w:color w:val="000000"/>
          <w:sz w:val="22"/>
          <w:szCs w:val="22"/>
          <w:lang w:val="uk-UA"/>
        </w:rPr>
        <w:t xml:space="preserve"> з аудиту фінансової звітності</w:t>
      </w:r>
      <w:r w:rsidRPr="00D87BB1">
        <w:rPr>
          <w:rFonts w:ascii="Times New Roman" w:hAnsi="Times New Roman"/>
          <w:bCs/>
          <w:color w:val="000000"/>
          <w:sz w:val="22"/>
          <w:szCs w:val="22"/>
          <w:lang w:val="uk-UA"/>
        </w:rPr>
        <w:t xml:space="preserve">, відповідальним за цей аудиторський звіт, є </w:t>
      </w:r>
      <w:r w:rsidR="004E1B30">
        <w:rPr>
          <w:rFonts w:ascii="Times New Roman" w:hAnsi="Times New Roman"/>
          <w:bCs/>
          <w:color w:val="000000"/>
          <w:sz w:val="22"/>
          <w:szCs w:val="22"/>
          <w:lang w:val="uk-UA"/>
        </w:rPr>
        <w:t>Ш</w:t>
      </w:r>
      <w:r w:rsidR="001B28FE">
        <w:rPr>
          <w:rFonts w:ascii="Times New Roman" w:hAnsi="Times New Roman"/>
          <w:bCs/>
          <w:color w:val="000000"/>
          <w:sz w:val="22"/>
          <w:szCs w:val="22"/>
          <w:lang w:val="uk-UA"/>
        </w:rPr>
        <w:t>ульман Маргаріт</w:t>
      </w:r>
      <w:r w:rsidR="004E1B30">
        <w:rPr>
          <w:rFonts w:ascii="Times New Roman" w:hAnsi="Times New Roman"/>
          <w:bCs/>
          <w:color w:val="000000"/>
          <w:sz w:val="22"/>
          <w:szCs w:val="22"/>
          <w:lang w:val="uk-UA"/>
        </w:rPr>
        <w:t>а</w:t>
      </w:r>
      <w:r w:rsidR="001B28FE">
        <w:rPr>
          <w:rFonts w:ascii="Times New Roman" w:hAnsi="Times New Roman"/>
          <w:bCs/>
          <w:color w:val="000000"/>
          <w:sz w:val="22"/>
          <w:szCs w:val="22"/>
          <w:lang w:val="uk-UA"/>
        </w:rPr>
        <w:t xml:space="preserve"> Кімівна</w:t>
      </w:r>
      <w:r>
        <w:rPr>
          <w:rFonts w:ascii="Times New Roman" w:hAnsi="Times New Roman"/>
          <w:bCs/>
          <w:color w:val="000000"/>
          <w:sz w:val="22"/>
          <w:szCs w:val="22"/>
          <w:lang w:val="uk-UA"/>
        </w:rPr>
        <w:t>.</w:t>
      </w:r>
    </w:p>
    <w:p w:rsidR="00555528" w:rsidRPr="00CB029E" w:rsidRDefault="00555528" w:rsidP="00CA0AF1">
      <w:pPr>
        <w:pStyle w:val="HTML"/>
        <w:shd w:val="clear" w:color="auto" w:fill="FFFFFF"/>
        <w:jc w:val="both"/>
        <w:textAlignment w:val="baseline"/>
        <w:rPr>
          <w:rFonts w:ascii="Times New Roman" w:hAnsi="Times New Roman"/>
          <w:bCs/>
          <w:color w:val="000000"/>
          <w:sz w:val="22"/>
          <w:szCs w:val="22"/>
          <w:lang w:val="uk-UA"/>
        </w:rPr>
      </w:pPr>
    </w:p>
    <w:p w:rsidR="003A1122" w:rsidRDefault="003A1122" w:rsidP="00560B5F">
      <w:pPr>
        <w:jc w:val="both"/>
        <w:rPr>
          <w:sz w:val="24"/>
          <w:szCs w:val="22"/>
          <w:lang w:val="uk-UA"/>
        </w:rPr>
      </w:pPr>
      <w:r>
        <w:rPr>
          <w:sz w:val="24"/>
          <w:szCs w:val="22"/>
          <w:lang w:val="uk-UA"/>
        </w:rPr>
        <w:t>ПП "Аудиторська фірма "АМК-Сервіс"</w:t>
      </w:r>
    </w:p>
    <w:p w:rsidR="00BC1693" w:rsidRDefault="00BC1693" w:rsidP="00BC1693">
      <w:pPr>
        <w:jc w:val="both"/>
        <w:rPr>
          <w:sz w:val="24"/>
          <w:szCs w:val="22"/>
          <w:lang w:val="uk-UA"/>
        </w:rPr>
      </w:pPr>
    </w:p>
    <w:p w:rsidR="00B03D00" w:rsidRDefault="00B03D00" w:rsidP="00560B5F">
      <w:pPr>
        <w:jc w:val="both"/>
        <w:rPr>
          <w:sz w:val="24"/>
          <w:szCs w:val="22"/>
          <w:lang w:val="uk-UA"/>
        </w:rPr>
      </w:pPr>
    </w:p>
    <w:p w:rsidR="00B03D00" w:rsidRPr="00B03D00" w:rsidRDefault="00B03D00" w:rsidP="003D0C09">
      <w:pPr>
        <w:suppressAutoHyphens/>
        <w:rPr>
          <w:sz w:val="24"/>
        </w:rPr>
      </w:pPr>
      <w:r w:rsidRPr="00B03D00">
        <w:rPr>
          <w:sz w:val="24"/>
          <w:szCs w:val="27"/>
          <w:lang w:val="uk-UA"/>
        </w:rPr>
        <w:t>Директор ПП АФ "АМК-Сервіс"</w:t>
      </w:r>
      <w:r w:rsidRPr="00B03D00">
        <w:rPr>
          <w:sz w:val="24"/>
          <w:szCs w:val="27"/>
          <w:lang w:val="uk-UA"/>
        </w:rPr>
        <w:tab/>
      </w:r>
      <w:r w:rsidRPr="00B03D00">
        <w:rPr>
          <w:sz w:val="24"/>
          <w:szCs w:val="27"/>
          <w:lang w:val="uk-UA"/>
        </w:rPr>
        <w:tab/>
      </w:r>
      <w:r w:rsidRPr="00B03D00">
        <w:rPr>
          <w:sz w:val="24"/>
          <w:szCs w:val="27"/>
          <w:lang w:val="uk-UA"/>
        </w:rPr>
        <w:tab/>
      </w:r>
      <w:r w:rsidRPr="00B03D00">
        <w:rPr>
          <w:sz w:val="24"/>
          <w:szCs w:val="27"/>
          <w:lang w:val="uk-UA"/>
        </w:rPr>
        <w:tab/>
      </w:r>
      <w:r w:rsidRPr="00B03D00">
        <w:rPr>
          <w:sz w:val="24"/>
          <w:szCs w:val="27"/>
          <w:lang w:val="uk-UA"/>
        </w:rPr>
        <w:tab/>
        <w:t xml:space="preserve">М.К. </w:t>
      </w:r>
      <w:proofErr w:type="spellStart"/>
      <w:r w:rsidRPr="00B03D00">
        <w:rPr>
          <w:sz w:val="24"/>
          <w:szCs w:val="27"/>
          <w:lang w:val="uk-UA"/>
        </w:rPr>
        <w:t>Шу</w:t>
      </w:r>
      <w:r w:rsidRPr="00B03D00">
        <w:rPr>
          <w:sz w:val="24"/>
          <w:szCs w:val="27"/>
        </w:rPr>
        <w:t>льман</w:t>
      </w:r>
      <w:proofErr w:type="spellEnd"/>
    </w:p>
    <w:p w:rsidR="00E1344F" w:rsidRPr="003D0C09" w:rsidRDefault="003A1122" w:rsidP="003A1122">
      <w:pPr>
        <w:jc w:val="both"/>
        <w:rPr>
          <w:color w:val="000000"/>
          <w:lang w:val="uk-UA"/>
        </w:rPr>
      </w:pPr>
      <w:r w:rsidRPr="003D0C09">
        <w:rPr>
          <w:color w:val="000000"/>
          <w:lang w:val="uk-UA"/>
        </w:rPr>
        <w:t xml:space="preserve">сертифікат серія А №736, виданий </w:t>
      </w:r>
    </w:p>
    <w:p w:rsidR="00E1344F" w:rsidRPr="003D0C09" w:rsidRDefault="003A1122" w:rsidP="003A1122">
      <w:pPr>
        <w:jc w:val="both"/>
        <w:rPr>
          <w:color w:val="000000"/>
          <w:lang w:val="uk-UA"/>
        </w:rPr>
      </w:pPr>
      <w:r w:rsidRPr="003D0C09">
        <w:rPr>
          <w:color w:val="000000"/>
          <w:lang w:val="uk-UA"/>
        </w:rPr>
        <w:t xml:space="preserve">рішенням Аудиторської палати України </w:t>
      </w:r>
    </w:p>
    <w:p w:rsidR="003A1122" w:rsidRPr="003D0C09" w:rsidRDefault="003A1122" w:rsidP="003D0C09">
      <w:pPr>
        <w:jc w:val="both"/>
        <w:rPr>
          <w:color w:val="000000"/>
          <w:lang w:val="uk-UA"/>
        </w:rPr>
      </w:pPr>
      <w:r w:rsidRPr="003D0C09">
        <w:rPr>
          <w:color w:val="000000"/>
          <w:lang w:val="uk-UA"/>
        </w:rPr>
        <w:t>№41 від 25.01.1996 р., дійсний до 25.01.2020р.</w:t>
      </w:r>
    </w:p>
    <w:p w:rsidR="003A1122" w:rsidRDefault="003A1122" w:rsidP="003A1122">
      <w:pPr>
        <w:rPr>
          <w:sz w:val="24"/>
          <w:szCs w:val="22"/>
          <w:lang w:val="uk-UA"/>
        </w:rPr>
      </w:pPr>
      <w:r w:rsidRPr="003A1122">
        <w:rPr>
          <w:sz w:val="24"/>
          <w:szCs w:val="22"/>
          <w:lang w:val="uk-UA"/>
        </w:rPr>
        <w:tab/>
      </w:r>
    </w:p>
    <w:p w:rsidR="00000FB4" w:rsidRDefault="00000FB4" w:rsidP="003A1122">
      <w:pPr>
        <w:rPr>
          <w:sz w:val="24"/>
          <w:szCs w:val="22"/>
          <w:lang w:val="uk-UA"/>
        </w:rPr>
      </w:pPr>
    </w:p>
    <w:p w:rsidR="00000FB4" w:rsidRPr="003A1122" w:rsidRDefault="00000FB4" w:rsidP="003A1122">
      <w:pPr>
        <w:rPr>
          <w:sz w:val="24"/>
          <w:szCs w:val="22"/>
          <w:lang w:val="uk-UA"/>
        </w:rPr>
      </w:pPr>
    </w:p>
    <w:p w:rsidR="00DA4742" w:rsidRPr="009703AA" w:rsidRDefault="00565DCD" w:rsidP="003D0C09">
      <w:pPr>
        <w:rPr>
          <w:sz w:val="22"/>
          <w:szCs w:val="22"/>
          <w:u w:val="single"/>
          <w:lang w:val="uk-UA"/>
        </w:rPr>
      </w:pPr>
      <w:r w:rsidRPr="009703AA">
        <w:rPr>
          <w:sz w:val="22"/>
          <w:szCs w:val="22"/>
          <w:u w:val="single"/>
          <w:lang w:val="uk-UA"/>
        </w:rPr>
        <w:t>«</w:t>
      </w:r>
      <w:r w:rsidR="00772734" w:rsidRPr="009703AA">
        <w:rPr>
          <w:sz w:val="22"/>
          <w:szCs w:val="22"/>
          <w:u w:val="single"/>
          <w:lang w:val="uk-UA"/>
        </w:rPr>
        <w:t>29</w:t>
      </w:r>
      <w:r w:rsidR="00657307" w:rsidRPr="009703AA">
        <w:rPr>
          <w:sz w:val="22"/>
          <w:szCs w:val="22"/>
          <w:u w:val="single"/>
          <w:lang w:val="uk-UA"/>
        </w:rPr>
        <w:t>»</w:t>
      </w:r>
      <w:r w:rsidR="00E57CA7" w:rsidRPr="009703AA">
        <w:rPr>
          <w:sz w:val="22"/>
          <w:szCs w:val="22"/>
          <w:u w:val="single"/>
          <w:lang w:val="uk-UA"/>
        </w:rPr>
        <w:t xml:space="preserve"> </w:t>
      </w:r>
      <w:r w:rsidR="00657307" w:rsidRPr="009703AA">
        <w:rPr>
          <w:sz w:val="22"/>
          <w:szCs w:val="22"/>
          <w:u w:val="single"/>
          <w:lang w:val="uk-UA"/>
        </w:rPr>
        <w:t xml:space="preserve"> </w:t>
      </w:r>
      <w:r w:rsidR="00000FB4" w:rsidRPr="009703AA">
        <w:rPr>
          <w:sz w:val="22"/>
          <w:szCs w:val="22"/>
          <w:u w:val="single"/>
          <w:lang w:val="uk-UA"/>
        </w:rPr>
        <w:t xml:space="preserve">  </w:t>
      </w:r>
      <w:r w:rsidR="006B1D48" w:rsidRPr="009703AA">
        <w:rPr>
          <w:sz w:val="22"/>
          <w:szCs w:val="22"/>
          <w:u w:val="single"/>
          <w:lang w:val="uk-UA"/>
        </w:rPr>
        <w:t>березня</w:t>
      </w:r>
      <w:r w:rsidR="00000FB4" w:rsidRPr="009703AA">
        <w:rPr>
          <w:sz w:val="22"/>
          <w:szCs w:val="22"/>
          <w:u w:val="single"/>
          <w:lang w:val="uk-UA"/>
        </w:rPr>
        <w:t xml:space="preserve">  </w:t>
      </w:r>
      <w:r w:rsidR="00E57CA7" w:rsidRPr="009703AA">
        <w:rPr>
          <w:sz w:val="22"/>
          <w:szCs w:val="22"/>
          <w:u w:val="single"/>
          <w:lang w:val="uk-UA"/>
        </w:rPr>
        <w:t xml:space="preserve"> </w:t>
      </w:r>
      <w:r w:rsidR="00657307" w:rsidRPr="009703AA">
        <w:rPr>
          <w:sz w:val="22"/>
          <w:szCs w:val="22"/>
          <w:u w:val="single"/>
          <w:lang w:val="uk-UA"/>
        </w:rPr>
        <w:t xml:space="preserve"> 201</w:t>
      </w:r>
      <w:r w:rsidR="00000FB4" w:rsidRPr="009703AA">
        <w:rPr>
          <w:sz w:val="22"/>
          <w:szCs w:val="22"/>
          <w:u w:val="single"/>
          <w:lang w:val="uk-UA"/>
        </w:rPr>
        <w:t>8</w:t>
      </w:r>
      <w:r w:rsidR="00657307" w:rsidRPr="009703AA">
        <w:rPr>
          <w:sz w:val="22"/>
          <w:szCs w:val="22"/>
          <w:u w:val="single"/>
          <w:lang w:val="uk-UA"/>
        </w:rPr>
        <w:t xml:space="preserve"> року</w:t>
      </w:r>
    </w:p>
    <w:p w:rsidR="004E1DA1" w:rsidRDefault="001F7F33" w:rsidP="003D0C09">
      <w:pPr>
        <w:rPr>
          <w:sz w:val="22"/>
          <w:szCs w:val="22"/>
          <w:lang w:val="uk-UA"/>
        </w:rPr>
      </w:pPr>
      <w:r>
        <w:rPr>
          <w:sz w:val="22"/>
          <w:szCs w:val="22"/>
          <w:lang w:val="uk-UA"/>
        </w:rPr>
        <w:t>м</w:t>
      </w:r>
      <w:r w:rsidR="00B03D00">
        <w:rPr>
          <w:sz w:val="22"/>
          <w:szCs w:val="22"/>
          <w:lang w:val="uk-UA"/>
        </w:rPr>
        <w:t>. Дніпро, вул. Грушевського, буд. 9, кв.3</w:t>
      </w:r>
    </w:p>
    <w:p w:rsidR="007C1977" w:rsidRDefault="007C1977" w:rsidP="003D0C09">
      <w:pPr>
        <w:rPr>
          <w:sz w:val="22"/>
          <w:szCs w:val="22"/>
          <w:lang w:val="uk-UA"/>
        </w:rPr>
      </w:pPr>
    </w:p>
    <w:p w:rsidR="007C1977" w:rsidRDefault="007C1977" w:rsidP="003D0C09">
      <w:pPr>
        <w:rPr>
          <w:sz w:val="22"/>
          <w:szCs w:val="22"/>
          <w:lang w:val="uk-UA"/>
        </w:rPr>
      </w:pPr>
    </w:p>
    <w:p w:rsidR="007C1977" w:rsidRDefault="007C1977" w:rsidP="003D0C09">
      <w:pPr>
        <w:rPr>
          <w:sz w:val="22"/>
          <w:szCs w:val="22"/>
          <w:lang w:val="uk-UA"/>
        </w:rPr>
      </w:pPr>
    </w:p>
    <w:sectPr w:rsidR="007C1977" w:rsidSect="008174DD">
      <w:headerReference w:type="even" r:id="rId10"/>
      <w:headerReference w:type="default" r:id="rId11"/>
      <w:footerReference w:type="even" r:id="rId12"/>
      <w:footerReference w:type="default" r:id="rId13"/>
      <w:pgSz w:w="11907" w:h="16840"/>
      <w:pgMar w:top="680" w:right="1134" w:bottom="680"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1300" w:rsidRDefault="00AE1300">
      <w:r>
        <w:separator/>
      </w:r>
    </w:p>
  </w:endnote>
  <w:endnote w:type="continuationSeparator" w:id="0">
    <w:p w:rsidR="00AE1300" w:rsidRDefault="00AE13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DINOT-Ligh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0CF7" w:rsidRDefault="001B4977" w:rsidP="00603505">
    <w:pPr>
      <w:pStyle w:val="a8"/>
      <w:framePr w:wrap="around" w:vAnchor="text" w:hAnchor="margin" w:xAlign="right" w:y="1"/>
      <w:rPr>
        <w:rStyle w:val="a3"/>
      </w:rPr>
    </w:pPr>
    <w:r>
      <w:rPr>
        <w:rStyle w:val="a3"/>
      </w:rPr>
      <w:fldChar w:fldCharType="begin"/>
    </w:r>
    <w:r w:rsidR="00A40CF7">
      <w:rPr>
        <w:rStyle w:val="a3"/>
      </w:rPr>
      <w:instrText xml:space="preserve">PAGE  </w:instrText>
    </w:r>
    <w:r>
      <w:rPr>
        <w:rStyle w:val="a3"/>
      </w:rPr>
      <w:fldChar w:fldCharType="end"/>
    </w:r>
  </w:p>
  <w:p w:rsidR="00A40CF7" w:rsidRDefault="00A40CF7" w:rsidP="00F0783E">
    <w:pPr>
      <w:pStyle w:val="a8"/>
      <w:ind w:right="360"/>
    </w:pPr>
  </w:p>
  <w:p w:rsidR="002105EA" w:rsidRDefault="002105E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0CF7" w:rsidRDefault="001B4977" w:rsidP="00603505">
    <w:pPr>
      <w:pStyle w:val="a8"/>
      <w:framePr w:wrap="around" w:vAnchor="text" w:hAnchor="margin" w:xAlign="right" w:y="1"/>
      <w:rPr>
        <w:rStyle w:val="a3"/>
      </w:rPr>
    </w:pPr>
    <w:r>
      <w:rPr>
        <w:rStyle w:val="a3"/>
      </w:rPr>
      <w:fldChar w:fldCharType="begin"/>
    </w:r>
    <w:r w:rsidR="00A40CF7">
      <w:rPr>
        <w:rStyle w:val="a3"/>
      </w:rPr>
      <w:instrText xml:space="preserve">PAGE  </w:instrText>
    </w:r>
    <w:r>
      <w:rPr>
        <w:rStyle w:val="a3"/>
      </w:rPr>
      <w:fldChar w:fldCharType="separate"/>
    </w:r>
    <w:r w:rsidR="00002997">
      <w:rPr>
        <w:rStyle w:val="a3"/>
        <w:noProof/>
      </w:rPr>
      <w:t>7</w:t>
    </w:r>
    <w:r>
      <w:rPr>
        <w:rStyle w:val="a3"/>
      </w:rPr>
      <w:fldChar w:fldCharType="end"/>
    </w:r>
  </w:p>
  <w:p w:rsidR="00A40CF7" w:rsidRDefault="00A40CF7" w:rsidP="00F0783E">
    <w:pPr>
      <w:pStyle w:val="a8"/>
      <w:ind w:right="360"/>
    </w:pPr>
  </w:p>
  <w:p w:rsidR="002105EA" w:rsidRDefault="002105E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1300" w:rsidRDefault="00AE1300">
      <w:r>
        <w:separator/>
      </w:r>
    </w:p>
  </w:footnote>
  <w:footnote w:type="continuationSeparator" w:id="0">
    <w:p w:rsidR="00AE1300" w:rsidRDefault="00AE13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0CF7" w:rsidRDefault="001B4977">
    <w:pPr>
      <w:pStyle w:val="a4"/>
      <w:framePr w:wrap="around" w:vAnchor="text" w:hAnchor="margin" w:xAlign="right" w:y="1"/>
      <w:rPr>
        <w:rStyle w:val="a3"/>
      </w:rPr>
    </w:pPr>
    <w:r>
      <w:rPr>
        <w:rStyle w:val="a3"/>
      </w:rPr>
      <w:fldChar w:fldCharType="begin"/>
    </w:r>
    <w:r w:rsidR="00A40CF7">
      <w:rPr>
        <w:rStyle w:val="a3"/>
      </w:rPr>
      <w:instrText xml:space="preserve">PAGE  </w:instrText>
    </w:r>
    <w:r>
      <w:rPr>
        <w:rStyle w:val="a3"/>
      </w:rPr>
      <w:fldChar w:fldCharType="separate"/>
    </w:r>
    <w:r w:rsidR="00A40CF7">
      <w:rPr>
        <w:rStyle w:val="a3"/>
        <w:noProof/>
      </w:rPr>
      <w:t>1</w:t>
    </w:r>
    <w:r>
      <w:rPr>
        <w:rStyle w:val="a3"/>
      </w:rPr>
      <w:fldChar w:fldCharType="end"/>
    </w:r>
  </w:p>
  <w:p w:rsidR="00A40CF7" w:rsidRDefault="00A40CF7">
    <w:pPr>
      <w:pStyle w:val="a4"/>
      <w:ind w:right="360"/>
    </w:pPr>
  </w:p>
  <w:p w:rsidR="002105EA" w:rsidRDefault="002105E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0CF7" w:rsidRDefault="00A40CF7" w:rsidP="00F0783E">
    <w:pPr>
      <w:pStyle w:val="a4"/>
      <w:ind w:right="360"/>
    </w:pPr>
  </w:p>
  <w:p w:rsidR="002105EA" w:rsidRDefault="002105E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1"/>
    <w:lvl w:ilvl="0">
      <w:start w:val="1"/>
      <w:numFmt w:val="decimal"/>
      <w:suff w:val="space"/>
      <w:lvlText w:val="%1."/>
      <w:lvlJc w:val="left"/>
      <w:pPr>
        <w:tabs>
          <w:tab w:val="num" w:pos="0"/>
        </w:tabs>
        <w:ind w:left="360" w:hanging="360"/>
      </w:pPr>
      <w:rPr>
        <w:b/>
        <w:i w:val="0"/>
      </w:rPr>
    </w:lvl>
    <w:lvl w:ilvl="1">
      <w:start w:val="1"/>
      <w:numFmt w:val="bullet"/>
      <w:lvlText w:val=""/>
      <w:lvlJc w:val="left"/>
      <w:pPr>
        <w:tabs>
          <w:tab w:val="num" w:pos="502"/>
        </w:tabs>
        <w:ind w:left="502" w:hanging="360"/>
      </w:pPr>
      <w:rPr>
        <w:rFonts w:ascii="Symbol" w:hAnsi="Symbol"/>
        <w:b/>
        <w:i w:val="0"/>
      </w:rPr>
    </w:lvl>
    <w:lvl w:ilvl="2">
      <w:start w:val="1"/>
      <w:numFmt w:val="decimal"/>
      <w:suff w:val="space"/>
      <w:lvlText w:val="%1.%2.%3."/>
      <w:lvlJc w:val="left"/>
      <w:pPr>
        <w:tabs>
          <w:tab w:val="num" w:pos="0"/>
        </w:tabs>
        <w:ind w:left="851" w:hanging="454"/>
      </w:pPr>
      <w:rPr>
        <w:sz w:val="23"/>
        <w:szCs w:val="23"/>
      </w:rPr>
    </w:lvl>
    <w:lvl w:ilvl="3">
      <w:start w:val="1"/>
      <w:numFmt w:val="decimal"/>
      <w:lvlText w:val="%1.%2.%3.%4."/>
      <w:lvlJc w:val="left"/>
      <w:pPr>
        <w:tabs>
          <w:tab w:val="num" w:pos="1800"/>
        </w:tabs>
        <w:ind w:left="1728" w:hanging="648"/>
      </w:pPr>
    </w:lvl>
    <w:lvl w:ilvl="4">
      <w:start w:val="3"/>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nsid w:val="00000003"/>
    <w:multiLevelType w:val="multilevel"/>
    <w:tmpl w:val="00000003"/>
    <w:name w:val="WW8Num2"/>
    <w:lvl w:ilvl="0">
      <w:start w:val="1"/>
      <w:numFmt w:val="decimal"/>
      <w:suff w:val="space"/>
      <w:lvlText w:val="%1."/>
      <w:lvlJc w:val="left"/>
      <w:pPr>
        <w:tabs>
          <w:tab w:val="num" w:pos="0"/>
        </w:tabs>
        <w:ind w:left="360" w:hanging="360"/>
      </w:pPr>
      <w:rPr>
        <w:b/>
        <w:i w:val="0"/>
      </w:rPr>
    </w:lvl>
    <w:lvl w:ilvl="1">
      <w:start w:val="1"/>
      <w:numFmt w:val="decimal"/>
      <w:suff w:val="space"/>
      <w:lvlText w:val="%1.%2."/>
      <w:lvlJc w:val="left"/>
      <w:pPr>
        <w:tabs>
          <w:tab w:val="num" w:pos="0"/>
        </w:tabs>
        <w:ind w:left="539" w:hanging="397"/>
      </w:pPr>
      <w:rPr>
        <w:rFonts w:ascii="Times New Roman" w:hAnsi="Times New Roman"/>
        <w:b w:val="0"/>
        <w:i w:val="0"/>
        <w:color w:val="auto"/>
      </w:rPr>
    </w:lvl>
    <w:lvl w:ilvl="2">
      <w:start w:val="1"/>
      <w:numFmt w:val="decimal"/>
      <w:suff w:val="space"/>
      <w:lvlText w:val="%1.%2.%3."/>
      <w:lvlJc w:val="left"/>
      <w:pPr>
        <w:tabs>
          <w:tab w:val="num" w:pos="0"/>
        </w:tabs>
        <w:ind w:left="851" w:hanging="454"/>
      </w:pPr>
      <w:rPr>
        <w:sz w:val="23"/>
        <w:szCs w:val="23"/>
      </w:rPr>
    </w:lvl>
    <w:lvl w:ilvl="3">
      <w:start w:val="1"/>
      <w:numFmt w:val="decimal"/>
      <w:lvlText w:val="%1.%2.%3.%4."/>
      <w:lvlJc w:val="left"/>
      <w:pPr>
        <w:tabs>
          <w:tab w:val="num" w:pos="1800"/>
        </w:tabs>
        <w:ind w:left="1728" w:hanging="648"/>
      </w:pPr>
    </w:lvl>
    <w:lvl w:ilvl="4">
      <w:start w:val="3"/>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023A2855"/>
    <w:multiLevelType w:val="singleLevel"/>
    <w:tmpl w:val="20EEC68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4">
    <w:nsid w:val="05204320"/>
    <w:multiLevelType w:val="hybridMultilevel"/>
    <w:tmpl w:val="DE4A48E6"/>
    <w:lvl w:ilvl="0" w:tplc="0419000F">
      <w:start w:val="1"/>
      <w:numFmt w:val="decimal"/>
      <w:lvlText w:val="%1."/>
      <w:lvlJc w:val="left"/>
      <w:pPr>
        <w:ind w:left="720" w:hanging="360"/>
      </w:pPr>
    </w:lvl>
    <w:lvl w:ilvl="1" w:tplc="04A69770">
      <w:start w:val="6"/>
      <w:numFmt w:val="bullet"/>
      <w:lvlText w:val="-"/>
      <w:lvlJc w:val="left"/>
      <w:pPr>
        <w:ind w:left="1440" w:hanging="360"/>
      </w:pPr>
      <w:rPr>
        <w:rFonts w:ascii="Calibri" w:eastAsia="Calibri" w:hAnsi="Calibri" w:cs="Times New Roman" w:hint="default"/>
      </w:rPr>
    </w:lvl>
    <w:lvl w:ilvl="2" w:tplc="04A69770">
      <w:start w:val="6"/>
      <w:numFmt w:val="bullet"/>
      <w:lvlText w:val="-"/>
      <w:lvlJc w:val="left"/>
      <w:pPr>
        <w:ind w:left="2340" w:hanging="360"/>
      </w:pPr>
      <w:rPr>
        <w:rFonts w:ascii="Calibri" w:eastAsia="Calibri" w:hAnsi="Calibri" w:cs="Times New Roman"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A9705B6"/>
    <w:multiLevelType w:val="hybridMultilevel"/>
    <w:tmpl w:val="3AEE1AB4"/>
    <w:lvl w:ilvl="0" w:tplc="48403F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1D84E2E"/>
    <w:multiLevelType w:val="hybridMultilevel"/>
    <w:tmpl w:val="03589A48"/>
    <w:lvl w:ilvl="0" w:tplc="3F76E516">
      <w:start w:val="1"/>
      <w:numFmt w:val="decimal"/>
      <w:lvlText w:val="%1."/>
      <w:lvlJc w:val="left"/>
      <w:pPr>
        <w:ind w:left="720" w:hanging="360"/>
      </w:pPr>
      <w:rPr>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33B7928"/>
    <w:multiLevelType w:val="hybridMultilevel"/>
    <w:tmpl w:val="6A385F10"/>
    <w:lvl w:ilvl="0" w:tplc="7CAC772E">
      <w:start w:val="1"/>
      <w:numFmt w:val="decimal"/>
      <w:lvlText w:val="%1."/>
      <w:lvlJc w:val="left"/>
      <w:pPr>
        <w:ind w:left="720" w:hanging="360"/>
      </w:pPr>
      <w:rPr>
        <w:rFonts w:hint="default"/>
        <w:sz w:val="22"/>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nsid w:val="1DE937F8"/>
    <w:multiLevelType w:val="singleLevel"/>
    <w:tmpl w:val="0419000F"/>
    <w:lvl w:ilvl="0">
      <w:start w:val="1"/>
      <w:numFmt w:val="decimal"/>
      <w:lvlText w:val="%1."/>
      <w:lvlJc w:val="left"/>
      <w:pPr>
        <w:tabs>
          <w:tab w:val="num" w:pos="360"/>
        </w:tabs>
        <w:ind w:left="360" w:hanging="360"/>
      </w:pPr>
      <w:rPr>
        <w:rFonts w:hint="default"/>
      </w:rPr>
    </w:lvl>
  </w:abstractNum>
  <w:abstractNum w:abstractNumId="9">
    <w:nsid w:val="29500F16"/>
    <w:multiLevelType w:val="hybridMultilevel"/>
    <w:tmpl w:val="C7384F28"/>
    <w:lvl w:ilvl="0" w:tplc="04A69770">
      <w:start w:val="6"/>
      <w:numFmt w:val="bullet"/>
      <w:lvlText w:val="-"/>
      <w:lvlJc w:val="left"/>
      <w:pPr>
        <w:ind w:left="1800" w:hanging="360"/>
      </w:pPr>
      <w:rPr>
        <w:rFonts w:ascii="Calibri" w:eastAsia="Calibri" w:hAnsi="Calibri" w:cs="Times New Roman"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0">
    <w:nsid w:val="31861605"/>
    <w:multiLevelType w:val="hybridMultilevel"/>
    <w:tmpl w:val="8DA6C27E"/>
    <w:lvl w:ilvl="0" w:tplc="B1AA3842">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1A54E28"/>
    <w:multiLevelType w:val="hybridMultilevel"/>
    <w:tmpl w:val="DF1A727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8BC232A"/>
    <w:multiLevelType w:val="hybridMultilevel"/>
    <w:tmpl w:val="E28211F4"/>
    <w:lvl w:ilvl="0" w:tplc="48403F34">
      <w:start w:val="1"/>
      <w:numFmt w:val="bullet"/>
      <w:lvlText w:val=""/>
      <w:lvlJc w:val="left"/>
      <w:pPr>
        <w:ind w:left="720" w:hanging="360"/>
      </w:pPr>
      <w:rPr>
        <w:rFonts w:ascii="Symbol" w:hAnsi="Symbol" w:hint="default"/>
      </w:rPr>
    </w:lvl>
    <w:lvl w:ilvl="1" w:tplc="27600D28">
      <w:numFmt w:val="bullet"/>
      <w:lvlText w:val="-"/>
      <w:lvlJc w:val="left"/>
      <w:pPr>
        <w:ind w:left="1680" w:hanging="60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AFD0994"/>
    <w:multiLevelType w:val="hybridMultilevel"/>
    <w:tmpl w:val="3B14C1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C9E7EAE"/>
    <w:multiLevelType w:val="hybridMultilevel"/>
    <w:tmpl w:val="7D360054"/>
    <w:lvl w:ilvl="0" w:tplc="07A80D96">
      <w:start w:val="1"/>
      <w:numFmt w:val="decimal"/>
      <w:lvlText w:val="%1."/>
      <w:lvlJc w:val="left"/>
      <w:pPr>
        <w:tabs>
          <w:tab w:val="num" w:pos="854"/>
        </w:tabs>
        <w:ind w:left="854" w:hanging="360"/>
      </w:pPr>
      <w:rPr>
        <w:b/>
      </w:rPr>
    </w:lvl>
    <w:lvl w:ilvl="1" w:tplc="04190019" w:tentative="1">
      <w:start w:val="1"/>
      <w:numFmt w:val="lowerLetter"/>
      <w:lvlText w:val="%2."/>
      <w:lvlJc w:val="left"/>
      <w:pPr>
        <w:tabs>
          <w:tab w:val="num" w:pos="1508"/>
        </w:tabs>
        <w:ind w:left="1508" w:hanging="360"/>
      </w:pPr>
    </w:lvl>
    <w:lvl w:ilvl="2" w:tplc="0419001B" w:tentative="1">
      <w:start w:val="1"/>
      <w:numFmt w:val="lowerRoman"/>
      <w:lvlText w:val="%3."/>
      <w:lvlJc w:val="right"/>
      <w:pPr>
        <w:tabs>
          <w:tab w:val="num" w:pos="2228"/>
        </w:tabs>
        <w:ind w:left="2228" w:hanging="180"/>
      </w:pPr>
    </w:lvl>
    <w:lvl w:ilvl="3" w:tplc="0419000F" w:tentative="1">
      <w:start w:val="1"/>
      <w:numFmt w:val="decimal"/>
      <w:lvlText w:val="%4."/>
      <w:lvlJc w:val="left"/>
      <w:pPr>
        <w:tabs>
          <w:tab w:val="num" w:pos="2948"/>
        </w:tabs>
        <w:ind w:left="2948" w:hanging="360"/>
      </w:pPr>
    </w:lvl>
    <w:lvl w:ilvl="4" w:tplc="04190019" w:tentative="1">
      <w:start w:val="1"/>
      <w:numFmt w:val="lowerLetter"/>
      <w:lvlText w:val="%5."/>
      <w:lvlJc w:val="left"/>
      <w:pPr>
        <w:tabs>
          <w:tab w:val="num" w:pos="3668"/>
        </w:tabs>
        <w:ind w:left="3668" w:hanging="360"/>
      </w:pPr>
    </w:lvl>
    <w:lvl w:ilvl="5" w:tplc="0419001B" w:tentative="1">
      <w:start w:val="1"/>
      <w:numFmt w:val="lowerRoman"/>
      <w:lvlText w:val="%6."/>
      <w:lvlJc w:val="right"/>
      <w:pPr>
        <w:tabs>
          <w:tab w:val="num" w:pos="4388"/>
        </w:tabs>
        <w:ind w:left="4388" w:hanging="180"/>
      </w:pPr>
    </w:lvl>
    <w:lvl w:ilvl="6" w:tplc="0419000F" w:tentative="1">
      <w:start w:val="1"/>
      <w:numFmt w:val="decimal"/>
      <w:lvlText w:val="%7."/>
      <w:lvlJc w:val="left"/>
      <w:pPr>
        <w:tabs>
          <w:tab w:val="num" w:pos="5108"/>
        </w:tabs>
        <w:ind w:left="5108" w:hanging="360"/>
      </w:pPr>
    </w:lvl>
    <w:lvl w:ilvl="7" w:tplc="04190019" w:tentative="1">
      <w:start w:val="1"/>
      <w:numFmt w:val="lowerLetter"/>
      <w:lvlText w:val="%8."/>
      <w:lvlJc w:val="left"/>
      <w:pPr>
        <w:tabs>
          <w:tab w:val="num" w:pos="5828"/>
        </w:tabs>
        <w:ind w:left="5828" w:hanging="360"/>
      </w:pPr>
    </w:lvl>
    <w:lvl w:ilvl="8" w:tplc="0419001B" w:tentative="1">
      <w:start w:val="1"/>
      <w:numFmt w:val="lowerRoman"/>
      <w:lvlText w:val="%9."/>
      <w:lvlJc w:val="right"/>
      <w:pPr>
        <w:tabs>
          <w:tab w:val="num" w:pos="6548"/>
        </w:tabs>
        <w:ind w:left="6548" w:hanging="180"/>
      </w:pPr>
    </w:lvl>
  </w:abstractNum>
  <w:abstractNum w:abstractNumId="15">
    <w:nsid w:val="55BD71AC"/>
    <w:multiLevelType w:val="hybridMultilevel"/>
    <w:tmpl w:val="6E6470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BEA7913"/>
    <w:multiLevelType w:val="hybridMultilevel"/>
    <w:tmpl w:val="514AF144"/>
    <w:lvl w:ilvl="0" w:tplc="48403F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41700F3"/>
    <w:multiLevelType w:val="hybridMultilevel"/>
    <w:tmpl w:val="6E0AF3DC"/>
    <w:lvl w:ilvl="0" w:tplc="4694EDD4">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8">
    <w:nsid w:val="6A22724B"/>
    <w:multiLevelType w:val="hybridMultilevel"/>
    <w:tmpl w:val="42DED318"/>
    <w:lvl w:ilvl="0" w:tplc="290C3700">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63F2F51"/>
    <w:multiLevelType w:val="singleLevel"/>
    <w:tmpl w:val="0270BD92"/>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0">
    <w:nsid w:val="7DEC2D3A"/>
    <w:multiLevelType w:val="hybridMultilevel"/>
    <w:tmpl w:val="FD52EFE0"/>
    <w:lvl w:ilvl="0" w:tplc="07A80D96">
      <w:start w:val="1"/>
      <w:numFmt w:val="decimal"/>
      <w:lvlText w:val="%1."/>
      <w:lvlJc w:val="left"/>
      <w:pPr>
        <w:tabs>
          <w:tab w:val="num" w:pos="786"/>
        </w:tabs>
        <w:ind w:left="786" w:hanging="360"/>
      </w:pPr>
      <w:rPr>
        <w:b/>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21">
    <w:nsid w:val="7EC47AAA"/>
    <w:multiLevelType w:val="singleLevel"/>
    <w:tmpl w:val="0419000F"/>
    <w:lvl w:ilvl="0">
      <w:start w:val="1"/>
      <w:numFmt w:val="decimal"/>
      <w:lvlText w:val="%1."/>
      <w:lvlJc w:val="left"/>
      <w:pPr>
        <w:tabs>
          <w:tab w:val="num" w:pos="360"/>
        </w:tabs>
        <w:ind w:left="360" w:hanging="360"/>
      </w:pPr>
      <w:rPr>
        <w:rFonts w:hint="default"/>
      </w:rPr>
    </w:lvl>
  </w:abstractNum>
  <w:abstractNum w:abstractNumId="22">
    <w:nsid w:val="7F4F45BF"/>
    <w:multiLevelType w:val="hybridMultilevel"/>
    <w:tmpl w:val="90E047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num>
  <w:num w:numId="2">
    <w:abstractNumId w:val="3"/>
  </w:num>
  <w:num w:numId="3">
    <w:abstractNumId w:val="17"/>
  </w:num>
  <w:num w:numId="4">
    <w:abstractNumId w:val="15"/>
  </w:num>
  <w:num w:numId="5">
    <w:abstractNumId w:val="9"/>
  </w:num>
  <w:num w:numId="6">
    <w:abstractNumId w:val="4"/>
  </w:num>
  <w:num w:numId="7">
    <w:abstractNumId w:val="8"/>
  </w:num>
  <w:num w:numId="8">
    <w:abstractNumId w:val="21"/>
  </w:num>
  <w:num w:numId="9">
    <w:abstractNumId w:val="12"/>
  </w:num>
  <w:num w:numId="10">
    <w:abstractNumId w:val="16"/>
  </w:num>
  <w:num w:numId="11">
    <w:abstractNumId w:val="5"/>
  </w:num>
  <w:num w:numId="12">
    <w:abstractNumId w:val="1"/>
  </w:num>
  <w:num w:numId="13">
    <w:abstractNumId w:val="2"/>
  </w:num>
  <w:num w:numId="14">
    <w:abstractNumId w:val="7"/>
  </w:num>
  <w:num w:numId="15">
    <w:abstractNumId w:val="20"/>
  </w:num>
  <w:num w:numId="16">
    <w:abstractNumId w:val="14"/>
  </w:num>
  <w:num w:numId="17">
    <w:abstractNumId w:val="0"/>
  </w:num>
  <w:num w:numId="18">
    <w:abstractNumId w:val="6"/>
  </w:num>
  <w:num w:numId="19">
    <w:abstractNumId w:val="13"/>
  </w:num>
  <w:num w:numId="20">
    <w:abstractNumId w:val="22"/>
  </w:num>
  <w:num w:numId="21">
    <w:abstractNumId w:val="11"/>
  </w:num>
  <w:num w:numId="22">
    <w:abstractNumId w:val="18"/>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10A26"/>
    <w:rsid w:val="00000F6E"/>
    <w:rsid w:val="00000FB4"/>
    <w:rsid w:val="00002997"/>
    <w:rsid w:val="0000324C"/>
    <w:rsid w:val="00004DA6"/>
    <w:rsid w:val="00005035"/>
    <w:rsid w:val="00011862"/>
    <w:rsid w:val="0001299A"/>
    <w:rsid w:val="000177A8"/>
    <w:rsid w:val="0002027B"/>
    <w:rsid w:val="0002306B"/>
    <w:rsid w:val="00027E72"/>
    <w:rsid w:val="00027F2F"/>
    <w:rsid w:val="00032B75"/>
    <w:rsid w:val="00032E3C"/>
    <w:rsid w:val="00033052"/>
    <w:rsid w:val="000352B5"/>
    <w:rsid w:val="00036620"/>
    <w:rsid w:val="000412A9"/>
    <w:rsid w:val="000429A2"/>
    <w:rsid w:val="0005033D"/>
    <w:rsid w:val="00051114"/>
    <w:rsid w:val="000535A8"/>
    <w:rsid w:val="000546E4"/>
    <w:rsid w:val="00054A24"/>
    <w:rsid w:val="00054DC8"/>
    <w:rsid w:val="00055CC9"/>
    <w:rsid w:val="00056B39"/>
    <w:rsid w:val="00060DC0"/>
    <w:rsid w:val="00063222"/>
    <w:rsid w:val="00063FA6"/>
    <w:rsid w:val="0006476B"/>
    <w:rsid w:val="00065554"/>
    <w:rsid w:val="0007485D"/>
    <w:rsid w:val="00075D9D"/>
    <w:rsid w:val="00077F3A"/>
    <w:rsid w:val="00080D7E"/>
    <w:rsid w:val="00084847"/>
    <w:rsid w:val="00086087"/>
    <w:rsid w:val="000955D1"/>
    <w:rsid w:val="00095CC0"/>
    <w:rsid w:val="000A2943"/>
    <w:rsid w:val="000A4D9E"/>
    <w:rsid w:val="000A74DF"/>
    <w:rsid w:val="000B0F44"/>
    <w:rsid w:val="000B18E5"/>
    <w:rsid w:val="000B295C"/>
    <w:rsid w:val="000B48F8"/>
    <w:rsid w:val="000B49E0"/>
    <w:rsid w:val="000B4A20"/>
    <w:rsid w:val="000B4F6A"/>
    <w:rsid w:val="000B50CC"/>
    <w:rsid w:val="000B790E"/>
    <w:rsid w:val="000C3E3B"/>
    <w:rsid w:val="000C521F"/>
    <w:rsid w:val="000C652C"/>
    <w:rsid w:val="000C7A5A"/>
    <w:rsid w:val="000D276D"/>
    <w:rsid w:val="000D7DB4"/>
    <w:rsid w:val="000E1815"/>
    <w:rsid w:val="000E221E"/>
    <w:rsid w:val="000E2FB3"/>
    <w:rsid w:val="000E320A"/>
    <w:rsid w:val="000E42E8"/>
    <w:rsid w:val="000E6F80"/>
    <w:rsid w:val="000F085C"/>
    <w:rsid w:val="000F2BA9"/>
    <w:rsid w:val="000F30C4"/>
    <w:rsid w:val="000F4340"/>
    <w:rsid w:val="000F6A3D"/>
    <w:rsid w:val="001002AC"/>
    <w:rsid w:val="00102C03"/>
    <w:rsid w:val="00102EEB"/>
    <w:rsid w:val="00103853"/>
    <w:rsid w:val="00106296"/>
    <w:rsid w:val="001066D0"/>
    <w:rsid w:val="0011147F"/>
    <w:rsid w:val="0011321B"/>
    <w:rsid w:val="00114DB3"/>
    <w:rsid w:val="00115386"/>
    <w:rsid w:val="00120773"/>
    <w:rsid w:val="00120A43"/>
    <w:rsid w:val="0012174D"/>
    <w:rsid w:val="00123320"/>
    <w:rsid w:val="00123A7E"/>
    <w:rsid w:val="00124840"/>
    <w:rsid w:val="001262B8"/>
    <w:rsid w:val="00130C5A"/>
    <w:rsid w:val="00132179"/>
    <w:rsid w:val="001341B8"/>
    <w:rsid w:val="00137AE6"/>
    <w:rsid w:val="001476BD"/>
    <w:rsid w:val="00152DE4"/>
    <w:rsid w:val="00155BE3"/>
    <w:rsid w:val="00164226"/>
    <w:rsid w:val="00167940"/>
    <w:rsid w:val="0017154F"/>
    <w:rsid w:val="00172BDE"/>
    <w:rsid w:val="00172DA6"/>
    <w:rsid w:val="0017555D"/>
    <w:rsid w:val="00175957"/>
    <w:rsid w:val="0018329C"/>
    <w:rsid w:val="00185E73"/>
    <w:rsid w:val="00190391"/>
    <w:rsid w:val="0019335F"/>
    <w:rsid w:val="00193F40"/>
    <w:rsid w:val="001A1651"/>
    <w:rsid w:val="001B1BA8"/>
    <w:rsid w:val="001B28FE"/>
    <w:rsid w:val="001B2E9F"/>
    <w:rsid w:val="001B4977"/>
    <w:rsid w:val="001B640A"/>
    <w:rsid w:val="001B782C"/>
    <w:rsid w:val="001C0AEC"/>
    <w:rsid w:val="001C0F89"/>
    <w:rsid w:val="001C30ED"/>
    <w:rsid w:val="001D1079"/>
    <w:rsid w:val="001D1BFE"/>
    <w:rsid w:val="001D7823"/>
    <w:rsid w:val="001E0DB0"/>
    <w:rsid w:val="001E1F9E"/>
    <w:rsid w:val="001E3ADA"/>
    <w:rsid w:val="001E47FF"/>
    <w:rsid w:val="001E4F5B"/>
    <w:rsid w:val="001E55CC"/>
    <w:rsid w:val="001E6BB8"/>
    <w:rsid w:val="001E6FCB"/>
    <w:rsid w:val="001E7C47"/>
    <w:rsid w:val="001F2784"/>
    <w:rsid w:val="001F4A2E"/>
    <w:rsid w:val="001F7F33"/>
    <w:rsid w:val="00203D10"/>
    <w:rsid w:val="00207714"/>
    <w:rsid w:val="002105EA"/>
    <w:rsid w:val="00210A26"/>
    <w:rsid w:val="0021129A"/>
    <w:rsid w:val="00211982"/>
    <w:rsid w:val="00213087"/>
    <w:rsid w:val="00215E82"/>
    <w:rsid w:val="00221FD4"/>
    <w:rsid w:val="002244C7"/>
    <w:rsid w:val="00224A4B"/>
    <w:rsid w:val="0022616A"/>
    <w:rsid w:val="00231942"/>
    <w:rsid w:val="00234F17"/>
    <w:rsid w:val="002350A3"/>
    <w:rsid w:val="002357B5"/>
    <w:rsid w:val="00236BCB"/>
    <w:rsid w:val="002378B9"/>
    <w:rsid w:val="00240E62"/>
    <w:rsid w:val="00243F5F"/>
    <w:rsid w:val="002567B7"/>
    <w:rsid w:val="002568E6"/>
    <w:rsid w:val="00256C57"/>
    <w:rsid w:val="00260854"/>
    <w:rsid w:val="002613F6"/>
    <w:rsid w:val="0026172B"/>
    <w:rsid w:val="0026441F"/>
    <w:rsid w:val="002678A7"/>
    <w:rsid w:val="00267DA2"/>
    <w:rsid w:val="00271619"/>
    <w:rsid w:val="00273183"/>
    <w:rsid w:val="00275D9F"/>
    <w:rsid w:val="002763A5"/>
    <w:rsid w:val="002769CE"/>
    <w:rsid w:val="002770B5"/>
    <w:rsid w:val="00277C95"/>
    <w:rsid w:val="002803CD"/>
    <w:rsid w:val="0028389B"/>
    <w:rsid w:val="002838F6"/>
    <w:rsid w:val="002842E9"/>
    <w:rsid w:val="00285729"/>
    <w:rsid w:val="00290A1B"/>
    <w:rsid w:val="00293A90"/>
    <w:rsid w:val="00294510"/>
    <w:rsid w:val="0029741B"/>
    <w:rsid w:val="002A23E5"/>
    <w:rsid w:val="002A28C3"/>
    <w:rsid w:val="002A2C9B"/>
    <w:rsid w:val="002A6E37"/>
    <w:rsid w:val="002A707D"/>
    <w:rsid w:val="002B1D21"/>
    <w:rsid w:val="002B32D6"/>
    <w:rsid w:val="002B4F62"/>
    <w:rsid w:val="002B6834"/>
    <w:rsid w:val="002B7B0C"/>
    <w:rsid w:val="002C2563"/>
    <w:rsid w:val="002C655F"/>
    <w:rsid w:val="002C7C50"/>
    <w:rsid w:val="002D25B6"/>
    <w:rsid w:val="002D3D7F"/>
    <w:rsid w:val="002D7BAE"/>
    <w:rsid w:val="002E165C"/>
    <w:rsid w:val="002E59DB"/>
    <w:rsid w:val="002E6CBC"/>
    <w:rsid w:val="002F05D4"/>
    <w:rsid w:val="002F0ABC"/>
    <w:rsid w:val="002F1E6D"/>
    <w:rsid w:val="002F2813"/>
    <w:rsid w:val="002F7F88"/>
    <w:rsid w:val="0030025E"/>
    <w:rsid w:val="003016DB"/>
    <w:rsid w:val="00302F72"/>
    <w:rsid w:val="003038FA"/>
    <w:rsid w:val="00303CCB"/>
    <w:rsid w:val="00306108"/>
    <w:rsid w:val="00310743"/>
    <w:rsid w:val="00312DD5"/>
    <w:rsid w:val="0031371D"/>
    <w:rsid w:val="00313C9D"/>
    <w:rsid w:val="00321712"/>
    <w:rsid w:val="00321F18"/>
    <w:rsid w:val="0032229C"/>
    <w:rsid w:val="00322575"/>
    <w:rsid w:val="0032393F"/>
    <w:rsid w:val="003300F5"/>
    <w:rsid w:val="00331073"/>
    <w:rsid w:val="00331FC3"/>
    <w:rsid w:val="00332F3B"/>
    <w:rsid w:val="00333209"/>
    <w:rsid w:val="00333E99"/>
    <w:rsid w:val="00334D02"/>
    <w:rsid w:val="00336AD0"/>
    <w:rsid w:val="0034430C"/>
    <w:rsid w:val="003464E9"/>
    <w:rsid w:val="003471D7"/>
    <w:rsid w:val="00351FE2"/>
    <w:rsid w:val="003544FB"/>
    <w:rsid w:val="0035747E"/>
    <w:rsid w:val="003608AF"/>
    <w:rsid w:val="00360B36"/>
    <w:rsid w:val="00362B56"/>
    <w:rsid w:val="00364373"/>
    <w:rsid w:val="0036574B"/>
    <w:rsid w:val="00365FF9"/>
    <w:rsid w:val="003705BA"/>
    <w:rsid w:val="00370946"/>
    <w:rsid w:val="003717EB"/>
    <w:rsid w:val="00372EF5"/>
    <w:rsid w:val="003730B1"/>
    <w:rsid w:val="00373FD8"/>
    <w:rsid w:val="0037516A"/>
    <w:rsid w:val="00375A1C"/>
    <w:rsid w:val="00381481"/>
    <w:rsid w:val="00383D5A"/>
    <w:rsid w:val="00384F4B"/>
    <w:rsid w:val="00386093"/>
    <w:rsid w:val="00387601"/>
    <w:rsid w:val="003902CB"/>
    <w:rsid w:val="003972AD"/>
    <w:rsid w:val="003A1122"/>
    <w:rsid w:val="003A5A52"/>
    <w:rsid w:val="003B0077"/>
    <w:rsid w:val="003B124F"/>
    <w:rsid w:val="003B3353"/>
    <w:rsid w:val="003B3B31"/>
    <w:rsid w:val="003B4035"/>
    <w:rsid w:val="003B6935"/>
    <w:rsid w:val="003B6E04"/>
    <w:rsid w:val="003B72D0"/>
    <w:rsid w:val="003C1B40"/>
    <w:rsid w:val="003C4297"/>
    <w:rsid w:val="003C719C"/>
    <w:rsid w:val="003C77D3"/>
    <w:rsid w:val="003C7BE3"/>
    <w:rsid w:val="003D0063"/>
    <w:rsid w:val="003D0C09"/>
    <w:rsid w:val="003D29FA"/>
    <w:rsid w:val="003D4B79"/>
    <w:rsid w:val="003D5FD4"/>
    <w:rsid w:val="003D6183"/>
    <w:rsid w:val="003D7815"/>
    <w:rsid w:val="003D7A7D"/>
    <w:rsid w:val="003D7ABA"/>
    <w:rsid w:val="003E209E"/>
    <w:rsid w:val="003E2F62"/>
    <w:rsid w:val="003E6221"/>
    <w:rsid w:val="003E633E"/>
    <w:rsid w:val="003E6389"/>
    <w:rsid w:val="003E75E7"/>
    <w:rsid w:val="003F07CB"/>
    <w:rsid w:val="003F1560"/>
    <w:rsid w:val="003F309D"/>
    <w:rsid w:val="003F4FCE"/>
    <w:rsid w:val="003F5A60"/>
    <w:rsid w:val="003F64F8"/>
    <w:rsid w:val="00401A6D"/>
    <w:rsid w:val="004050DF"/>
    <w:rsid w:val="00406434"/>
    <w:rsid w:val="00410943"/>
    <w:rsid w:val="0041163B"/>
    <w:rsid w:val="00411BCE"/>
    <w:rsid w:val="00411EAC"/>
    <w:rsid w:val="004143D8"/>
    <w:rsid w:val="00415D8C"/>
    <w:rsid w:val="00416102"/>
    <w:rsid w:val="00416712"/>
    <w:rsid w:val="004210C5"/>
    <w:rsid w:val="00422332"/>
    <w:rsid w:val="00431116"/>
    <w:rsid w:val="00431F2A"/>
    <w:rsid w:val="0043215C"/>
    <w:rsid w:val="00437286"/>
    <w:rsid w:val="00445CA8"/>
    <w:rsid w:val="004468C7"/>
    <w:rsid w:val="0045098D"/>
    <w:rsid w:val="004519D8"/>
    <w:rsid w:val="00460ED4"/>
    <w:rsid w:val="00461DD9"/>
    <w:rsid w:val="004628A6"/>
    <w:rsid w:val="00467226"/>
    <w:rsid w:val="00470682"/>
    <w:rsid w:val="004717AE"/>
    <w:rsid w:val="004728AF"/>
    <w:rsid w:val="004770E5"/>
    <w:rsid w:val="00480C9D"/>
    <w:rsid w:val="0048284B"/>
    <w:rsid w:val="00482A81"/>
    <w:rsid w:val="00482CB5"/>
    <w:rsid w:val="00485347"/>
    <w:rsid w:val="004928EB"/>
    <w:rsid w:val="00492B81"/>
    <w:rsid w:val="004977A2"/>
    <w:rsid w:val="004A03B9"/>
    <w:rsid w:val="004A395E"/>
    <w:rsid w:val="004A4650"/>
    <w:rsid w:val="004A67B3"/>
    <w:rsid w:val="004B08E1"/>
    <w:rsid w:val="004B1DFE"/>
    <w:rsid w:val="004B21D4"/>
    <w:rsid w:val="004D158D"/>
    <w:rsid w:val="004D3632"/>
    <w:rsid w:val="004D39AA"/>
    <w:rsid w:val="004D4078"/>
    <w:rsid w:val="004D460B"/>
    <w:rsid w:val="004E1B30"/>
    <w:rsid w:val="004E1DA1"/>
    <w:rsid w:val="004E2198"/>
    <w:rsid w:val="004F678B"/>
    <w:rsid w:val="004F6B24"/>
    <w:rsid w:val="004F7568"/>
    <w:rsid w:val="0050193D"/>
    <w:rsid w:val="00503E90"/>
    <w:rsid w:val="005040CE"/>
    <w:rsid w:val="00505C29"/>
    <w:rsid w:val="0051410A"/>
    <w:rsid w:val="00517E31"/>
    <w:rsid w:val="005211DE"/>
    <w:rsid w:val="00521A24"/>
    <w:rsid w:val="00525245"/>
    <w:rsid w:val="00525FD7"/>
    <w:rsid w:val="005269F3"/>
    <w:rsid w:val="00527F54"/>
    <w:rsid w:val="00531452"/>
    <w:rsid w:val="005336FD"/>
    <w:rsid w:val="00533A17"/>
    <w:rsid w:val="0053489B"/>
    <w:rsid w:val="00534B2E"/>
    <w:rsid w:val="00541650"/>
    <w:rsid w:val="00541704"/>
    <w:rsid w:val="0054277C"/>
    <w:rsid w:val="0054601E"/>
    <w:rsid w:val="0054617D"/>
    <w:rsid w:val="0055084C"/>
    <w:rsid w:val="005516E2"/>
    <w:rsid w:val="00555528"/>
    <w:rsid w:val="00560B5F"/>
    <w:rsid w:val="00560F20"/>
    <w:rsid w:val="00563DC2"/>
    <w:rsid w:val="005641E0"/>
    <w:rsid w:val="00564B72"/>
    <w:rsid w:val="00565DCD"/>
    <w:rsid w:val="00567198"/>
    <w:rsid w:val="00570B66"/>
    <w:rsid w:val="00571721"/>
    <w:rsid w:val="005726BC"/>
    <w:rsid w:val="00575D21"/>
    <w:rsid w:val="005800C2"/>
    <w:rsid w:val="00581845"/>
    <w:rsid w:val="0058409F"/>
    <w:rsid w:val="00584414"/>
    <w:rsid w:val="00586D81"/>
    <w:rsid w:val="005906E9"/>
    <w:rsid w:val="00590C5B"/>
    <w:rsid w:val="005932CD"/>
    <w:rsid w:val="005949C9"/>
    <w:rsid w:val="00595562"/>
    <w:rsid w:val="0059709C"/>
    <w:rsid w:val="005A74CD"/>
    <w:rsid w:val="005A7EF4"/>
    <w:rsid w:val="005B5A6D"/>
    <w:rsid w:val="005B68FE"/>
    <w:rsid w:val="005C1CD6"/>
    <w:rsid w:val="005C31C4"/>
    <w:rsid w:val="005C3920"/>
    <w:rsid w:val="005C51D7"/>
    <w:rsid w:val="005D033F"/>
    <w:rsid w:val="005D1163"/>
    <w:rsid w:val="005D3DDC"/>
    <w:rsid w:val="005D7E78"/>
    <w:rsid w:val="005D7F85"/>
    <w:rsid w:val="005E1951"/>
    <w:rsid w:val="005E382D"/>
    <w:rsid w:val="005E3996"/>
    <w:rsid w:val="005E56A7"/>
    <w:rsid w:val="005E75AC"/>
    <w:rsid w:val="005F0CA6"/>
    <w:rsid w:val="005F1244"/>
    <w:rsid w:val="005F1298"/>
    <w:rsid w:val="005F2161"/>
    <w:rsid w:val="005F34C4"/>
    <w:rsid w:val="005F598A"/>
    <w:rsid w:val="00601184"/>
    <w:rsid w:val="00601B0E"/>
    <w:rsid w:val="00603505"/>
    <w:rsid w:val="00605382"/>
    <w:rsid w:val="0060585B"/>
    <w:rsid w:val="00606CF2"/>
    <w:rsid w:val="006070FA"/>
    <w:rsid w:val="00613463"/>
    <w:rsid w:val="00614E0E"/>
    <w:rsid w:val="00623BA6"/>
    <w:rsid w:val="00625789"/>
    <w:rsid w:val="00625BC6"/>
    <w:rsid w:val="00633F60"/>
    <w:rsid w:val="006349E1"/>
    <w:rsid w:val="00635433"/>
    <w:rsid w:val="006355C4"/>
    <w:rsid w:val="006365E6"/>
    <w:rsid w:val="00640DA5"/>
    <w:rsid w:val="00641011"/>
    <w:rsid w:val="00647A8A"/>
    <w:rsid w:val="006533A8"/>
    <w:rsid w:val="0065446F"/>
    <w:rsid w:val="00654A71"/>
    <w:rsid w:val="00656C95"/>
    <w:rsid w:val="00657307"/>
    <w:rsid w:val="00662C16"/>
    <w:rsid w:val="006630C6"/>
    <w:rsid w:val="00664553"/>
    <w:rsid w:val="00666604"/>
    <w:rsid w:val="00666E81"/>
    <w:rsid w:val="0067534B"/>
    <w:rsid w:val="00676B34"/>
    <w:rsid w:val="006776ED"/>
    <w:rsid w:val="0068057C"/>
    <w:rsid w:val="0068070B"/>
    <w:rsid w:val="00681A1E"/>
    <w:rsid w:val="00682C86"/>
    <w:rsid w:val="006855D8"/>
    <w:rsid w:val="00685EC3"/>
    <w:rsid w:val="00687E89"/>
    <w:rsid w:val="00691DBB"/>
    <w:rsid w:val="0069485D"/>
    <w:rsid w:val="00694F2E"/>
    <w:rsid w:val="006A0377"/>
    <w:rsid w:val="006A4817"/>
    <w:rsid w:val="006B1D48"/>
    <w:rsid w:val="006B2930"/>
    <w:rsid w:val="006B3322"/>
    <w:rsid w:val="006B59FA"/>
    <w:rsid w:val="006B687F"/>
    <w:rsid w:val="006B7232"/>
    <w:rsid w:val="006C0754"/>
    <w:rsid w:val="006C2DE7"/>
    <w:rsid w:val="006C3094"/>
    <w:rsid w:val="006C3E8A"/>
    <w:rsid w:val="006C4195"/>
    <w:rsid w:val="006C6A3F"/>
    <w:rsid w:val="006C7B45"/>
    <w:rsid w:val="006C7E8E"/>
    <w:rsid w:val="006D273F"/>
    <w:rsid w:val="006D2A38"/>
    <w:rsid w:val="006D57C9"/>
    <w:rsid w:val="006D589B"/>
    <w:rsid w:val="006D5B83"/>
    <w:rsid w:val="006D60BD"/>
    <w:rsid w:val="006D7231"/>
    <w:rsid w:val="006E6BDA"/>
    <w:rsid w:val="006F1CA0"/>
    <w:rsid w:val="006F1E96"/>
    <w:rsid w:val="006F1FB9"/>
    <w:rsid w:val="006F46C0"/>
    <w:rsid w:val="006F520F"/>
    <w:rsid w:val="006F5FD7"/>
    <w:rsid w:val="006F66F7"/>
    <w:rsid w:val="006F6C0E"/>
    <w:rsid w:val="006F6FB2"/>
    <w:rsid w:val="006F79E8"/>
    <w:rsid w:val="007072E1"/>
    <w:rsid w:val="00707646"/>
    <w:rsid w:val="00707B6B"/>
    <w:rsid w:val="00711798"/>
    <w:rsid w:val="0071240B"/>
    <w:rsid w:val="007156D5"/>
    <w:rsid w:val="0072052E"/>
    <w:rsid w:val="0072064F"/>
    <w:rsid w:val="007219A4"/>
    <w:rsid w:val="00722214"/>
    <w:rsid w:val="0072404F"/>
    <w:rsid w:val="00725E8B"/>
    <w:rsid w:val="0072614F"/>
    <w:rsid w:val="007324F3"/>
    <w:rsid w:val="00733AB7"/>
    <w:rsid w:val="00733DF5"/>
    <w:rsid w:val="00737973"/>
    <w:rsid w:val="00744EB8"/>
    <w:rsid w:val="00745170"/>
    <w:rsid w:val="007455EB"/>
    <w:rsid w:val="007462E6"/>
    <w:rsid w:val="00746DF8"/>
    <w:rsid w:val="00747CCB"/>
    <w:rsid w:val="007539D2"/>
    <w:rsid w:val="007541FB"/>
    <w:rsid w:val="00754412"/>
    <w:rsid w:val="0075541E"/>
    <w:rsid w:val="00756DBC"/>
    <w:rsid w:val="0075737A"/>
    <w:rsid w:val="007577C7"/>
    <w:rsid w:val="007637BE"/>
    <w:rsid w:val="00766A8B"/>
    <w:rsid w:val="00766F46"/>
    <w:rsid w:val="00772734"/>
    <w:rsid w:val="007728D5"/>
    <w:rsid w:val="00775CE4"/>
    <w:rsid w:val="0077789C"/>
    <w:rsid w:val="00780378"/>
    <w:rsid w:val="0078226F"/>
    <w:rsid w:val="00783307"/>
    <w:rsid w:val="00783C6F"/>
    <w:rsid w:val="00784C0F"/>
    <w:rsid w:val="007865F0"/>
    <w:rsid w:val="00790224"/>
    <w:rsid w:val="007917B6"/>
    <w:rsid w:val="00792279"/>
    <w:rsid w:val="0079280C"/>
    <w:rsid w:val="007973F1"/>
    <w:rsid w:val="007A0338"/>
    <w:rsid w:val="007A113A"/>
    <w:rsid w:val="007A3D5C"/>
    <w:rsid w:val="007A63FF"/>
    <w:rsid w:val="007A70FC"/>
    <w:rsid w:val="007A7609"/>
    <w:rsid w:val="007A7CE2"/>
    <w:rsid w:val="007B03FA"/>
    <w:rsid w:val="007B0E14"/>
    <w:rsid w:val="007B2CFA"/>
    <w:rsid w:val="007B37E6"/>
    <w:rsid w:val="007B403F"/>
    <w:rsid w:val="007B4853"/>
    <w:rsid w:val="007B7D2F"/>
    <w:rsid w:val="007C116F"/>
    <w:rsid w:val="007C15EC"/>
    <w:rsid w:val="007C1977"/>
    <w:rsid w:val="007C473C"/>
    <w:rsid w:val="007C5A5C"/>
    <w:rsid w:val="007C6070"/>
    <w:rsid w:val="007D3333"/>
    <w:rsid w:val="007D4FC9"/>
    <w:rsid w:val="007D5FA2"/>
    <w:rsid w:val="007E039F"/>
    <w:rsid w:val="007E20EA"/>
    <w:rsid w:val="007E2180"/>
    <w:rsid w:val="007E51EB"/>
    <w:rsid w:val="007E72CF"/>
    <w:rsid w:val="007E7E6D"/>
    <w:rsid w:val="007F0218"/>
    <w:rsid w:val="007F1DDB"/>
    <w:rsid w:val="007F6545"/>
    <w:rsid w:val="007F7AE8"/>
    <w:rsid w:val="00801BE7"/>
    <w:rsid w:val="00805EB1"/>
    <w:rsid w:val="008174DD"/>
    <w:rsid w:val="00821444"/>
    <w:rsid w:val="00821DE0"/>
    <w:rsid w:val="00822D32"/>
    <w:rsid w:val="0082506F"/>
    <w:rsid w:val="00832A5D"/>
    <w:rsid w:val="00832D4B"/>
    <w:rsid w:val="00833CAE"/>
    <w:rsid w:val="00833E53"/>
    <w:rsid w:val="00835819"/>
    <w:rsid w:val="008369BF"/>
    <w:rsid w:val="008404FF"/>
    <w:rsid w:val="008416BA"/>
    <w:rsid w:val="00842864"/>
    <w:rsid w:val="008434F6"/>
    <w:rsid w:val="00843745"/>
    <w:rsid w:val="008441BE"/>
    <w:rsid w:val="008470D1"/>
    <w:rsid w:val="00847D2C"/>
    <w:rsid w:val="00852CF7"/>
    <w:rsid w:val="00856A8C"/>
    <w:rsid w:val="00867ACD"/>
    <w:rsid w:val="00872166"/>
    <w:rsid w:val="008759FC"/>
    <w:rsid w:val="0088079F"/>
    <w:rsid w:val="008841A4"/>
    <w:rsid w:val="00886718"/>
    <w:rsid w:val="00886F35"/>
    <w:rsid w:val="0089358F"/>
    <w:rsid w:val="0089610D"/>
    <w:rsid w:val="008971CA"/>
    <w:rsid w:val="00897F15"/>
    <w:rsid w:val="008A1C8A"/>
    <w:rsid w:val="008A3D1C"/>
    <w:rsid w:val="008A49A6"/>
    <w:rsid w:val="008A7A97"/>
    <w:rsid w:val="008B0702"/>
    <w:rsid w:val="008B235B"/>
    <w:rsid w:val="008B2E0F"/>
    <w:rsid w:val="008B4C62"/>
    <w:rsid w:val="008B647E"/>
    <w:rsid w:val="008B6FFD"/>
    <w:rsid w:val="008C048E"/>
    <w:rsid w:val="008C157F"/>
    <w:rsid w:val="008C2A83"/>
    <w:rsid w:val="008C553E"/>
    <w:rsid w:val="008C580E"/>
    <w:rsid w:val="008C7F42"/>
    <w:rsid w:val="008D07FF"/>
    <w:rsid w:val="008D22CD"/>
    <w:rsid w:val="008D23F7"/>
    <w:rsid w:val="008D42FA"/>
    <w:rsid w:val="008D67CA"/>
    <w:rsid w:val="008E5A22"/>
    <w:rsid w:val="008E6041"/>
    <w:rsid w:val="008E7C09"/>
    <w:rsid w:val="008F4208"/>
    <w:rsid w:val="008F5E79"/>
    <w:rsid w:val="0090471C"/>
    <w:rsid w:val="00907E7D"/>
    <w:rsid w:val="00911F78"/>
    <w:rsid w:val="0091306A"/>
    <w:rsid w:val="009178C8"/>
    <w:rsid w:val="00924E81"/>
    <w:rsid w:val="00927F88"/>
    <w:rsid w:val="00934D8D"/>
    <w:rsid w:val="00940BE0"/>
    <w:rsid w:val="00940D50"/>
    <w:rsid w:val="00940FBC"/>
    <w:rsid w:val="00942FB3"/>
    <w:rsid w:val="009469C4"/>
    <w:rsid w:val="00946DC3"/>
    <w:rsid w:val="00947B8F"/>
    <w:rsid w:val="00950D1A"/>
    <w:rsid w:val="009601C4"/>
    <w:rsid w:val="00962925"/>
    <w:rsid w:val="00965688"/>
    <w:rsid w:val="009703AA"/>
    <w:rsid w:val="009715B4"/>
    <w:rsid w:val="00971A9B"/>
    <w:rsid w:val="00974E89"/>
    <w:rsid w:val="009849F2"/>
    <w:rsid w:val="00985D64"/>
    <w:rsid w:val="009869F7"/>
    <w:rsid w:val="0099015C"/>
    <w:rsid w:val="0099354E"/>
    <w:rsid w:val="009961BF"/>
    <w:rsid w:val="009A1122"/>
    <w:rsid w:val="009A2A55"/>
    <w:rsid w:val="009A3FF3"/>
    <w:rsid w:val="009A6C80"/>
    <w:rsid w:val="009B0936"/>
    <w:rsid w:val="009B4499"/>
    <w:rsid w:val="009B4A4D"/>
    <w:rsid w:val="009B55F5"/>
    <w:rsid w:val="009C1650"/>
    <w:rsid w:val="009C1881"/>
    <w:rsid w:val="009C5761"/>
    <w:rsid w:val="009D10CB"/>
    <w:rsid w:val="009D15FF"/>
    <w:rsid w:val="009D34F4"/>
    <w:rsid w:val="009D7453"/>
    <w:rsid w:val="009E05BF"/>
    <w:rsid w:val="009E117B"/>
    <w:rsid w:val="009E14C6"/>
    <w:rsid w:val="009E1C63"/>
    <w:rsid w:val="009E3D9A"/>
    <w:rsid w:val="009E58D8"/>
    <w:rsid w:val="009E59A6"/>
    <w:rsid w:val="009E5DB1"/>
    <w:rsid w:val="009E6B30"/>
    <w:rsid w:val="009F0FA6"/>
    <w:rsid w:val="009F5821"/>
    <w:rsid w:val="009F5CE4"/>
    <w:rsid w:val="00A0333F"/>
    <w:rsid w:val="00A04819"/>
    <w:rsid w:val="00A05491"/>
    <w:rsid w:val="00A0593A"/>
    <w:rsid w:val="00A07CDD"/>
    <w:rsid w:val="00A07E44"/>
    <w:rsid w:val="00A10D73"/>
    <w:rsid w:val="00A221E9"/>
    <w:rsid w:val="00A23343"/>
    <w:rsid w:val="00A23A0B"/>
    <w:rsid w:val="00A24D36"/>
    <w:rsid w:val="00A33D89"/>
    <w:rsid w:val="00A35C13"/>
    <w:rsid w:val="00A368C0"/>
    <w:rsid w:val="00A40117"/>
    <w:rsid w:val="00A40CF7"/>
    <w:rsid w:val="00A422D3"/>
    <w:rsid w:val="00A4522D"/>
    <w:rsid w:val="00A46E3D"/>
    <w:rsid w:val="00A47659"/>
    <w:rsid w:val="00A4781A"/>
    <w:rsid w:val="00A53969"/>
    <w:rsid w:val="00A545BF"/>
    <w:rsid w:val="00A555E4"/>
    <w:rsid w:val="00A55737"/>
    <w:rsid w:val="00A56D1D"/>
    <w:rsid w:val="00A572D4"/>
    <w:rsid w:val="00A64866"/>
    <w:rsid w:val="00A663C9"/>
    <w:rsid w:val="00A74467"/>
    <w:rsid w:val="00A744F7"/>
    <w:rsid w:val="00A76801"/>
    <w:rsid w:val="00A768D7"/>
    <w:rsid w:val="00A77C26"/>
    <w:rsid w:val="00A8025F"/>
    <w:rsid w:val="00A81AB5"/>
    <w:rsid w:val="00A90A15"/>
    <w:rsid w:val="00A91428"/>
    <w:rsid w:val="00A92188"/>
    <w:rsid w:val="00A921C0"/>
    <w:rsid w:val="00A928A0"/>
    <w:rsid w:val="00A93704"/>
    <w:rsid w:val="00A945AB"/>
    <w:rsid w:val="00A94BA6"/>
    <w:rsid w:val="00A955C9"/>
    <w:rsid w:val="00A95787"/>
    <w:rsid w:val="00A96100"/>
    <w:rsid w:val="00A97392"/>
    <w:rsid w:val="00AA63F8"/>
    <w:rsid w:val="00AA6493"/>
    <w:rsid w:val="00AA6A25"/>
    <w:rsid w:val="00AA7024"/>
    <w:rsid w:val="00AB064B"/>
    <w:rsid w:val="00AB18EA"/>
    <w:rsid w:val="00AB3D58"/>
    <w:rsid w:val="00AB404F"/>
    <w:rsid w:val="00AB474D"/>
    <w:rsid w:val="00AC27CA"/>
    <w:rsid w:val="00AC2893"/>
    <w:rsid w:val="00AC2C12"/>
    <w:rsid w:val="00AC30DF"/>
    <w:rsid w:val="00AC4A97"/>
    <w:rsid w:val="00AC4DF5"/>
    <w:rsid w:val="00AD152C"/>
    <w:rsid w:val="00AD1CF8"/>
    <w:rsid w:val="00AD297E"/>
    <w:rsid w:val="00AD31A3"/>
    <w:rsid w:val="00AD366A"/>
    <w:rsid w:val="00AD441E"/>
    <w:rsid w:val="00AD4663"/>
    <w:rsid w:val="00AD4DDC"/>
    <w:rsid w:val="00AD4F90"/>
    <w:rsid w:val="00AE0356"/>
    <w:rsid w:val="00AE1300"/>
    <w:rsid w:val="00AE1743"/>
    <w:rsid w:val="00AE2ED7"/>
    <w:rsid w:val="00AE768A"/>
    <w:rsid w:val="00AE7A40"/>
    <w:rsid w:val="00AF4806"/>
    <w:rsid w:val="00AF5DEC"/>
    <w:rsid w:val="00AF66D2"/>
    <w:rsid w:val="00B00D45"/>
    <w:rsid w:val="00B03D00"/>
    <w:rsid w:val="00B13FDB"/>
    <w:rsid w:val="00B21654"/>
    <w:rsid w:val="00B21B8A"/>
    <w:rsid w:val="00B23D0C"/>
    <w:rsid w:val="00B24571"/>
    <w:rsid w:val="00B3239A"/>
    <w:rsid w:val="00B358FA"/>
    <w:rsid w:val="00B35C53"/>
    <w:rsid w:val="00B365DD"/>
    <w:rsid w:val="00B36F45"/>
    <w:rsid w:val="00B37EA1"/>
    <w:rsid w:val="00B40B40"/>
    <w:rsid w:val="00B41782"/>
    <w:rsid w:val="00B4738E"/>
    <w:rsid w:val="00B50E54"/>
    <w:rsid w:val="00B52219"/>
    <w:rsid w:val="00B626EF"/>
    <w:rsid w:val="00B64522"/>
    <w:rsid w:val="00B645EA"/>
    <w:rsid w:val="00B70017"/>
    <w:rsid w:val="00B7102B"/>
    <w:rsid w:val="00B73977"/>
    <w:rsid w:val="00B74EF4"/>
    <w:rsid w:val="00B76AFB"/>
    <w:rsid w:val="00B80F6E"/>
    <w:rsid w:val="00B81AF3"/>
    <w:rsid w:val="00B82B5C"/>
    <w:rsid w:val="00B90FA6"/>
    <w:rsid w:val="00B91300"/>
    <w:rsid w:val="00B91E3C"/>
    <w:rsid w:val="00B92992"/>
    <w:rsid w:val="00B94C7D"/>
    <w:rsid w:val="00B95A80"/>
    <w:rsid w:val="00B976B7"/>
    <w:rsid w:val="00BA0187"/>
    <w:rsid w:val="00BA0718"/>
    <w:rsid w:val="00BA0C6E"/>
    <w:rsid w:val="00BA394A"/>
    <w:rsid w:val="00BA3CCD"/>
    <w:rsid w:val="00BA6857"/>
    <w:rsid w:val="00BA6DEA"/>
    <w:rsid w:val="00BB0583"/>
    <w:rsid w:val="00BB3B30"/>
    <w:rsid w:val="00BB4885"/>
    <w:rsid w:val="00BC0EA6"/>
    <w:rsid w:val="00BC1693"/>
    <w:rsid w:val="00BC2EFA"/>
    <w:rsid w:val="00BC3154"/>
    <w:rsid w:val="00BC43ED"/>
    <w:rsid w:val="00BC63AD"/>
    <w:rsid w:val="00BD01B7"/>
    <w:rsid w:val="00BD2B8D"/>
    <w:rsid w:val="00BD2CC4"/>
    <w:rsid w:val="00BD5771"/>
    <w:rsid w:val="00BD7A0D"/>
    <w:rsid w:val="00BE0F75"/>
    <w:rsid w:val="00BE2FAE"/>
    <w:rsid w:val="00BE43BD"/>
    <w:rsid w:val="00BE6450"/>
    <w:rsid w:val="00BE752E"/>
    <w:rsid w:val="00BF4D25"/>
    <w:rsid w:val="00BF5EEE"/>
    <w:rsid w:val="00BF6091"/>
    <w:rsid w:val="00BF7317"/>
    <w:rsid w:val="00C01754"/>
    <w:rsid w:val="00C018E8"/>
    <w:rsid w:val="00C02BAF"/>
    <w:rsid w:val="00C04B0D"/>
    <w:rsid w:val="00C11C3C"/>
    <w:rsid w:val="00C14008"/>
    <w:rsid w:val="00C172BC"/>
    <w:rsid w:val="00C219FA"/>
    <w:rsid w:val="00C23353"/>
    <w:rsid w:val="00C25888"/>
    <w:rsid w:val="00C36F46"/>
    <w:rsid w:val="00C400C9"/>
    <w:rsid w:val="00C462B3"/>
    <w:rsid w:val="00C464BA"/>
    <w:rsid w:val="00C51BD1"/>
    <w:rsid w:val="00C528E4"/>
    <w:rsid w:val="00C55281"/>
    <w:rsid w:val="00C55E19"/>
    <w:rsid w:val="00C60D22"/>
    <w:rsid w:val="00C613D6"/>
    <w:rsid w:val="00C61FF1"/>
    <w:rsid w:val="00C62E0A"/>
    <w:rsid w:val="00C72ED2"/>
    <w:rsid w:val="00C767F8"/>
    <w:rsid w:val="00C777ED"/>
    <w:rsid w:val="00C77B81"/>
    <w:rsid w:val="00C805D9"/>
    <w:rsid w:val="00C8284C"/>
    <w:rsid w:val="00C82D7E"/>
    <w:rsid w:val="00C87115"/>
    <w:rsid w:val="00C87173"/>
    <w:rsid w:val="00C9165F"/>
    <w:rsid w:val="00C921C1"/>
    <w:rsid w:val="00C93F60"/>
    <w:rsid w:val="00C94592"/>
    <w:rsid w:val="00C94FEF"/>
    <w:rsid w:val="00C958AB"/>
    <w:rsid w:val="00C96E5C"/>
    <w:rsid w:val="00CA0AF1"/>
    <w:rsid w:val="00CA5B47"/>
    <w:rsid w:val="00CA7CB1"/>
    <w:rsid w:val="00CB029E"/>
    <w:rsid w:val="00CB2EDD"/>
    <w:rsid w:val="00CC1ACE"/>
    <w:rsid w:val="00CC3B62"/>
    <w:rsid w:val="00CD0CFA"/>
    <w:rsid w:val="00CD31ED"/>
    <w:rsid w:val="00CD4894"/>
    <w:rsid w:val="00CD7742"/>
    <w:rsid w:val="00CE40CB"/>
    <w:rsid w:val="00CE6A13"/>
    <w:rsid w:val="00CE7686"/>
    <w:rsid w:val="00CE7C6F"/>
    <w:rsid w:val="00CF39E5"/>
    <w:rsid w:val="00CF7ACC"/>
    <w:rsid w:val="00D001BC"/>
    <w:rsid w:val="00D1407B"/>
    <w:rsid w:val="00D16A06"/>
    <w:rsid w:val="00D2011E"/>
    <w:rsid w:val="00D22509"/>
    <w:rsid w:val="00D22AD7"/>
    <w:rsid w:val="00D24DE4"/>
    <w:rsid w:val="00D268C7"/>
    <w:rsid w:val="00D26948"/>
    <w:rsid w:val="00D312EE"/>
    <w:rsid w:val="00D36EA0"/>
    <w:rsid w:val="00D378E9"/>
    <w:rsid w:val="00D37922"/>
    <w:rsid w:val="00D41BB8"/>
    <w:rsid w:val="00D41F7D"/>
    <w:rsid w:val="00D4368F"/>
    <w:rsid w:val="00D44577"/>
    <w:rsid w:val="00D44D2E"/>
    <w:rsid w:val="00D452E9"/>
    <w:rsid w:val="00D50843"/>
    <w:rsid w:val="00D53832"/>
    <w:rsid w:val="00D576E4"/>
    <w:rsid w:val="00D62CE8"/>
    <w:rsid w:val="00D63B7C"/>
    <w:rsid w:val="00D67054"/>
    <w:rsid w:val="00D7357B"/>
    <w:rsid w:val="00D73C8E"/>
    <w:rsid w:val="00D757FE"/>
    <w:rsid w:val="00D80E54"/>
    <w:rsid w:val="00D84B27"/>
    <w:rsid w:val="00D862F3"/>
    <w:rsid w:val="00D8663F"/>
    <w:rsid w:val="00D8794A"/>
    <w:rsid w:val="00D9332E"/>
    <w:rsid w:val="00D95908"/>
    <w:rsid w:val="00D96C2B"/>
    <w:rsid w:val="00DA0E74"/>
    <w:rsid w:val="00DA1B2C"/>
    <w:rsid w:val="00DA3F39"/>
    <w:rsid w:val="00DA4430"/>
    <w:rsid w:val="00DA4742"/>
    <w:rsid w:val="00DA6644"/>
    <w:rsid w:val="00DA6873"/>
    <w:rsid w:val="00DB0BE9"/>
    <w:rsid w:val="00DB2543"/>
    <w:rsid w:val="00DB7DDA"/>
    <w:rsid w:val="00DC1D52"/>
    <w:rsid w:val="00DC2D70"/>
    <w:rsid w:val="00DC5DC6"/>
    <w:rsid w:val="00DC7466"/>
    <w:rsid w:val="00DD1926"/>
    <w:rsid w:val="00DD2E94"/>
    <w:rsid w:val="00DD62FE"/>
    <w:rsid w:val="00DD6D1E"/>
    <w:rsid w:val="00DE1DB2"/>
    <w:rsid w:val="00DE2385"/>
    <w:rsid w:val="00DE299C"/>
    <w:rsid w:val="00DE3CC6"/>
    <w:rsid w:val="00DE65C3"/>
    <w:rsid w:val="00DF145B"/>
    <w:rsid w:val="00DF1DCC"/>
    <w:rsid w:val="00DF3094"/>
    <w:rsid w:val="00E018E4"/>
    <w:rsid w:val="00E020B8"/>
    <w:rsid w:val="00E04136"/>
    <w:rsid w:val="00E04CC7"/>
    <w:rsid w:val="00E076AF"/>
    <w:rsid w:val="00E07785"/>
    <w:rsid w:val="00E10BB9"/>
    <w:rsid w:val="00E1344F"/>
    <w:rsid w:val="00E149B4"/>
    <w:rsid w:val="00E1535C"/>
    <w:rsid w:val="00E15991"/>
    <w:rsid w:val="00E15F53"/>
    <w:rsid w:val="00E16D24"/>
    <w:rsid w:val="00E218D5"/>
    <w:rsid w:val="00E30DC8"/>
    <w:rsid w:val="00E32F33"/>
    <w:rsid w:val="00E35FF2"/>
    <w:rsid w:val="00E368A7"/>
    <w:rsid w:val="00E40378"/>
    <w:rsid w:val="00E42F4C"/>
    <w:rsid w:val="00E43FAC"/>
    <w:rsid w:val="00E44ACD"/>
    <w:rsid w:val="00E476CE"/>
    <w:rsid w:val="00E52422"/>
    <w:rsid w:val="00E55521"/>
    <w:rsid w:val="00E57CA7"/>
    <w:rsid w:val="00E60719"/>
    <w:rsid w:val="00E60CDA"/>
    <w:rsid w:val="00E61EC9"/>
    <w:rsid w:val="00E63E0C"/>
    <w:rsid w:val="00E72DAE"/>
    <w:rsid w:val="00E7628F"/>
    <w:rsid w:val="00E774D2"/>
    <w:rsid w:val="00E77748"/>
    <w:rsid w:val="00E77C34"/>
    <w:rsid w:val="00E83C87"/>
    <w:rsid w:val="00E843C0"/>
    <w:rsid w:val="00E84ACB"/>
    <w:rsid w:val="00E923DE"/>
    <w:rsid w:val="00E96DBA"/>
    <w:rsid w:val="00E97365"/>
    <w:rsid w:val="00EA06AA"/>
    <w:rsid w:val="00EA25C8"/>
    <w:rsid w:val="00EA2ED0"/>
    <w:rsid w:val="00EA64B4"/>
    <w:rsid w:val="00EA6B5D"/>
    <w:rsid w:val="00EB0D57"/>
    <w:rsid w:val="00EB18A3"/>
    <w:rsid w:val="00EB344F"/>
    <w:rsid w:val="00EB34AF"/>
    <w:rsid w:val="00EC0AD4"/>
    <w:rsid w:val="00EC0BC1"/>
    <w:rsid w:val="00EC4F59"/>
    <w:rsid w:val="00ED137A"/>
    <w:rsid w:val="00ED42B8"/>
    <w:rsid w:val="00ED48F3"/>
    <w:rsid w:val="00EE31CD"/>
    <w:rsid w:val="00EE353E"/>
    <w:rsid w:val="00EE433F"/>
    <w:rsid w:val="00EE468D"/>
    <w:rsid w:val="00EE4A24"/>
    <w:rsid w:val="00EE5786"/>
    <w:rsid w:val="00EE6AB7"/>
    <w:rsid w:val="00EF2D5B"/>
    <w:rsid w:val="00EF3C2D"/>
    <w:rsid w:val="00EF7F60"/>
    <w:rsid w:val="00F02586"/>
    <w:rsid w:val="00F04A5B"/>
    <w:rsid w:val="00F050FD"/>
    <w:rsid w:val="00F05136"/>
    <w:rsid w:val="00F06CFD"/>
    <w:rsid w:val="00F06F5E"/>
    <w:rsid w:val="00F0783E"/>
    <w:rsid w:val="00F1031B"/>
    <w:rsid w:val="00F176A1"/>
    <w:rsid w:val="00F21208"/>
    <w:rsid w:val="00F23893"/>
    <w:rsid w:val="00F23E3A"/>
    <w:rsid w:val="00F26C8B"/>
    <w:rsid w:val="00F32214"/>
    <w:rsid w:val="00F34DC1"/>
    <w:rsid w:val="00F37CF2"/>
    <w:rsid w:val="00F43A97"/>
    <w:rsid w:val="00F52466"/>
    <w:rsid w:val="00F52721"/>
    <w:rsid w:val="00F532F6"/>
    <w:rsid w:val="00F53DCC"/>
    <w:rsid w:val="00F54570"/>
    <w:rsid w:val="00F5648E"/>
    <w:rsid w:val="00F60F30"/>
    <w:rsid w:val="00F65408"/>
    <w:rsid w:val="00F654F9"/>
    <w:rsid w:val="00F700CD"/>
    <w:rsid w:val="00F73A54"/>
    <w:rsid w:val="00F73A5A"/>
    <w:rsid w:val="00F74D99"/>
    <w:rsid w:val="00F752E9"/>
    <w:rsid w:val="00F75FF4"/>
    <w:rsid w:val="00F765DB"/>
    <w:rsid w:val="00F76639"/>
    <w:rsid w:val="00F76874"/>
    <w:rsid w:val="00F76B12"/>
    <w:rsid w:val="00F805CD"/>
    <w:rsid w:val="00F80ADF"/>
    <w:rsid w:val="00F81C64"/>
    <w:rsid w:val="00F83685"/>
    <w:rsid w:val="00F84362"/>
    <w:rsid w:val="00F85CDF"/>
    <w:rsid w:val="00F87225"/>
    <w:rsid w:val="00F90E90"/>
    <w:rsid w:val="00F91D90"/>
    <w:rsid w:val="00F91F9E"/>
    <w:rsid w:val="00F92400"/>
    <w:rsid w:val="00F96411"/>
    <w:rsid w:val="00F9691B"/>
    <w:rsid w:val="00F96ECA"/>
    <w:rsid w:val="00F97D26"/>
    <w:rsid w:val="00FA0CBC"/>
    <w:rsid w:val="00FA1832"/>
    <w:rsid w:val="00FA2179"/>
    <w:rsid w:val="00FA3470"/>
    <w:rsid w:val="00FA4FBB"/>
    <w:rsid w:val="00FA5850"/>
    <w:rsid w:val="00FA788D"/>
    <w:rsid w:val="00FB32D1"/>
    <w:rsid w:val="00FB5CD0"/>
    <w:rsid w:val="00FC1E68"/>
    <w:rsid w:val="00FC755A"/>
    <w:rsid w:val="00FD0139"/>
    <w:rsid w:val="00FD0D2E"/>
    <w:rsid w:val="00FD38F5"/>
    <w:rsid w:val="00FD6C93"/>
    <w:rsid w:val="00FE0448"/>
    <w:rsid w:val="00FE13A4"/>
    <w:rsid w:val="00FE7769"/>
    <w:rsid w:val="00FF12FE"/>
    <w:rsid w:val="00FF22E6"/>
    <w:rsid w:val="00FF3793"/>
    <w:rsid w:val="00FF3C7F"/>
    <w:rsid w:val="00FF52A3"/>
    <w:rsid w:val="00FF7206"/>
    <w:rsid w:val="00FF72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4C7D"/>
  </w:style>
  <w:style w:type="paragraph" w:styleId="1">
    <w:name w:val="heading 1"/>
    <w:basedOn w:val="a"/>
    <w:next w:val="a"/>
    <w:qFormat/>
    <w:rsid w:val="00B94C7D"/>
    <w:pPr>
      <w:keepNext/>
      <w:spacing w:line="360" w:lineRule="auto"/>
      <w:ind w:firstLine="720"/>
      <w:outlineLvl w:val="0"/>
    </w:pPr>
    <w:rPr>
      <w:b/>
      <w:sz w:val="24"/>
      <w:u w:val="single"/>
      <w:lang w:val="uk-UA"/>
    </w:rPr>
  </w:style>
  <w:style w:type="paragraph" w:styleId="2">
    <w:name w:val="heading 2"/>
    <w:basedOn w:val="a"/>
    <w:next w:val="a"/>
    <w:qFormat/>
    <w:rsid w:val="00B94C7D"/>
    <w:pPr>
      <w:keepNext/>
      <w:spacing w:line="360" w:lineRule="auto"/>
      <w:ind w:firstLine="720"/>
      <w:jc w:val="center"/>
      <w:outlineLvl w:val="1"/>
    </w:pPr>
    <w:rPr>
      <w:b/>
      <w:sz w:val="24"/>
      <w:u w:val="single"/>
      <w:lang w:val="uk-UA"/>
    </w:rPr>
  </w:style>
  <w:style w:type="paragraph" w:styleId="9">
    <w:name w:val="heading 9"/>
    <w:basedOn w:val="a"/>
    <w:next w:val="a"/>
    <w:link w:val="90"/>
    <w:uiPriority w:val="9"/>
    <w:semiHidden/>
    <w:unhideWhenUsed/>
    <w:qFormat/>
    <w:rsid w:val="0011147F"/>
    <w:pPr>
      <w:spacing w:before="240" w:after="60"/>
      <w:outlineLvl w:val="8"/>
    </w:pPr>
    <w:rPr>
      <w:rFonts w:ascii="Calibri Light" w:hAnsi="Calibri Light"/>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B94C7D"/>
  </w:style>
  <w:style w:type="paragraph" w:styleId="a4">
    <w:name w:val="header"/>
    <w:basedOn w:val="a"/>
    <w:rsid w:val="00B94C7D"/>
    <w:pPr>
      <w:tabs>
        <w:tab w:val="center" w:pos="4153"/>
        <w:tab w:val="right" w:pos="8306"/>
      </w:tabs>
    </w:pPr>
  </w:style>
  <w:style w:type="paragraph" w:styleId="a5">
    <w:name w:val="Body Text"/>
    <w:basedOn w:val="a"/>
    <w:rsid w:val="00B94C7D"/>
    <w:pPr>
      <w:spacing w:line="360" w:lineRule="auto"/>
      <w:jc w:val="center"/>
    </w:pPr>
    <w:rPr>
      <w:b/>
      <w:sz w:val="24"/>
      <w:u w:val="single"/>
      <w:lang w:val="uk-UA"/>
    </w:rPr>
  </w:style>
  <w:style w:type="paragraph" w:styleId="a6">
    <w:name w:val="Body Text Indent"/>
    <w:basedOn w:val="a"/>
    <w:rsid w:val="00B94C7D"/>
    <w:pPr>
      <w:spacing w:line="360" w:lineRule="auto"/>
      <w:ind w:firstLine="720"/>
    </w:pPr>
    <w:rPr>
      <w:b/>
      <w:sz w:val="24"/>
      <w:u w:val="single"/>
      <w:lang w:val="uk-UA"/>
    </w:rPr>
  </w:style>
  <w:style w:type="paragraph" w:styleId="20">
    <w:name w:val="Body Text Indent 2"/>
    <w:basedOn w:val="a"/>
    <w:rsid w:val="00B94C7D"/>
    <w:pPr>
      <w:spacing w:line="360" w:lineRule="auto"/>
      <w:ind w:firstLine="720"/>
      <w:jc w:val="both"/>
    </w:pPr>
    <w:rPr>
      <w:sz w:val="24"/>
      <w:lang w:val="uk-UA"/>
    </w:rPr>
  </w:style>
  <w:style w:type="paragraph" w:styleId="21">
    <w:name w:val="Body Text 2"/>
    <w:basedOn w:val="a"/>
    <w:rsid w:val="00B94C7D"/>
    <w:pPr>
      <w:jc w:val="both"/>
    </w:pPr>
    <w:rPr>
      <w:sz w:val="22"/>
      <w:lang w:val="uk-UA"/>
    </w:rPr>
  </w:style>
  <w:style w:type="paragraph" w:styleId="3">
    <w:name w:val="Body Text Indent 3"/>
    <w:basedOn w:val="a"/>
    <w:link w:val="30"/>
    <w:rsid w:val="00B94C7D"/>
    <w:pPr>
      <w:ind w:firstLine="720"/>
      <w:jc w:val="both"/>
    </w:pPr>
    <w:rPr>
      <w:sz w:val="22"/>
      <w:lang w:val="uk-UA"/>
    </w:rPr>
  </w:style>
  <w:style w:type="paragraph" w:customStyle="1" w:styleId="xl24">
    <w:name w:val="xl24"/>
    <w:basedOn w:val="a"/>
    <w:rsid w:val="00B94C7D"/>
    <w:pPr>
      <w:spacing w:before="100" w:beforeAutospacing="1" w:after="100" w:afterAutospacing="1"/>
    </w:pPr>
    <w:rPr>
      <w:sz w:val="24"/>
      <w:szCs w:val="24"/>
    </w:rPr>
  </w:style>
  <w:style w:type="paragraph" w:customStyle="1" w:styleId="xl25">
    <w:name w:val="xl25"/>
    <w:basedOn w:val="a"/>
    <w:rsid w:val="00B94C7D"/>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26">
    <w:name w:val="xl26"/>
    <w:basedOn w:val="a"/>
    <w:rsid w:val="00B94C7D"/>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7">
    <w:name w:val="xl27"/>
    <w:basedOn w:val="a"/>
    <w:rsid w:val="00B94C7D"/>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8">
    <w:name w:val="xl28"/>
    <w:basedOn w:val="a"/>
    <w:rsid w:val="00B94C7D"/>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9">
    <w:name w:val="xl29"/>
    <w:basedOn w:val="a"/>
    <w:rsid w:val="00B94C7D"/>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table" w:styleId="a7">
    <w:name w:val="Table Grid"/>
    <w:basedOn w:val="a1"/>
    <w:rsid w:val="004D15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iPriority w:val="99"/>
    <w:rsid w:val="00F0783E"/>
    <w:pPr>
      <w:tabs>
        <w:tab w:val="center" w:pos="4677"/>
        <w:tab w:val="right" w:pos="9355"/>
      </w:tabs>
    </w:pPr>
  </w:style>
  <w:style w:type="paragraph" w:styleId="aa">
    <w:name w:val="Balloon Text"/>
    <w:basedOn w:val="a"/>
    <w:semiHidden/>
    <w:rsid w:val="00F0783E"/>
    <w:rPr>
      <w:rFonts w:ascii="Tahoma" w:hAnsi="Tahoma" w:cs="Tahoma"/>
      <w:sz w:val="16"/>
      <w:szCs w:val="16"/>
    </w:rPr>
  </w:style>
  <w:style w:type="paragraph" w:styleId="ab">
    <w:name w:val="Normal (Web)"/>
    <w:basedOn w:val="a"/>
    <w:uiPriority w:val="99"/>
    <w:rsid w:val="00940BE0"/>
    <w:pPr>
      <w:spacing w:before="100" w:beforeAutospacing="1" w:after="100" w:afterAutospacing="1"/>
    </w:pPr>
    <w:rPr>
      <w:sz w:val="24"/>
      <w:szCs w:val="24"/>
    </w:rPr>
  </w:style>
  <w:style w:type="paragraph" w:styleId="ac">
    <w:name w:val="List Paragraph"/>
    <w:basedOn w:val="a"/>
    <w:uiPriority w:val="34"/>
    <w:qFormat/>
    <w:rsid w:val="00C51BD1"/>
    <w:pPr>
      <w:spacing w:after="200" w:line="276" w:lineRule="auto"/>
      <w:ind w:left="720"/>
      <w:contextualSpacing/>
    </w:pPr>
    <w:rPr>
      <w:rFonts w:ascii="Calibri" w:eastAsia="Calibri" w:hAnsi="Calibri"/>
      <w:sz w:val="22"/>
      <w:szCs w:val="22"/>
      <w:lang w:val="uk-UA" w:eastAsia="en-US"/>
    </w:rPr>
  </w:style>
  <w:style w:type="character" w:customStyle="1" w:styleId="a9">
    <w:name w:val="Нижний колонтитул Знак"/>
    <w:link w:val="a8"/>
    <w:uiPriority w:val="99"/>
    <w:rsid w:val="007B2CFA"/>
  </w:style>
  <w:style w:type="paragraph" w:customStyle="1" w:styleId="PatriotAT">
    <w:name w:val="Patriot_AT"/>
    <w:rsid w:val="007B4853"/>
    <w:pPr>
      <w:spacing w:before="60"/>
      <w:ind w:left="567" w:right="284" w:firstLine="567"/>
      <w:jc w:val="both"/>
    </w:pPr>
    <w:rPr>
      <w:rFonts w:ascii="Arial" w:hAnsi="Arial" w:cs="Arial"/>
    </w:rPr>
  </w:style>
  <w:style w:type="character" w:styleId="ad">
    <w:name w:val="Hyperlink"/>
    <w:uiPriority w:val="99"/>
    <w:unhideWhenUsed/>
    <w:rsid w:val="007B4853"/>
    <w:rPr>
      <w:rFonts w:ascii="Arial" w:hAnsi="Arial"/>
      <w:strike w:val="0"/>
      <w:dstrike w:val="0"/>
      <w:color w:val="0000A0"/>
      <w:u w:val="none"/>
      <w:effect w:val="none"/>
    </w:rPr>
  </w:style>
  <w:style w:type="paragraph" w:styleId="ae">
    <w:name w:val="No Spacing"/>
    <w:uiPriority w:val="1"/>
    <w:qFormat/>
    <w:rsid w:val="00095CC0"/>
    <w:rPr>
      <w:rFonts w:ascii="Cambria" w:eastAsia="Cambria" w:hAnsi="Cambria"/>
      <w:sz w:val="22"/>
      <w:szCs w:val="22"/>
      <w:lang w:val="uk-UA" w:eastAsia="en-US"/>
    </w:rPr>
  </w:style>
  <w:style w:type="paragraph" w:customStyle="1" w:styleId="Normal1">
    <w:name w:val="Normal1"/>
    <w:rsid w:val="00AE2ED7"/>
    <w:pPr>
      <w:widowControl w:val="0"/>
      <w:spacing w:line="300" w:lineRule="auto"/>
      <w:ind w:firstLine="700"/>
    </w:pPr>
    <w:rPr>
      <w:snapToGrid w:val="0"/>
      <w:sz w:val="24"/>
      <w:lang w:val="uk-UA"/>
    </w:rPr>
  </w:style>
  <w:style w:type="paragraph" w:customStyle="1" w:styleId="Char">
    <w:name w:val="Char"/>
    <w:basedOn w:val="a"/>
    <w:rsid w:val="006F6FB2"/>
    <w:pPr>
      <w:suppressAutoHyphens/>
    </w:pPr>
    <w:rPr>
      <w:rFonts w:ascii="Verdana" w:hAnsi="Verdana" w:cs="Verdana"/>
      <w:lang w:val="en-US" w:eastAsia="ar-SA"/>
    </w:rPr>
  </w:style>
  <w:style w:type="character" w:customStyle="1" w:styleId="apple-converted-space">
    <w:name w:val="apple-converted-space"/>
    <w:rsid w:val="00525FD7"/>
  </w:style>
  <w:style w:type="paragraph" w:styleId="HTML">
    <w:name w:val="HTML Preformatted"/>
    <w:basedOn w:val="a"/>
    <w:link w:val="HTML0"/>
    <w:rsid w:val="001114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link w:val="HTML"/>
    <w:rsid w:val="0011147F"/>
    <w:rPr>
      <w:rFonts w:ascii="Courier New" w:hAnsi="Courier New" w:cs="Courier New"/>
    </w:rPr>
  </w:style>
  <w:style w:type="character" w:customStyle="1" w:styleId="90">
    <w:name w:val="Заголовок 9 Знак"/>
    <w:link w:val="9"/>
    <w:uiPriority w:val="9"/>
    <w:semiHidden/>
    <w:rsid w:val="0011147F"/>
    <w:rPr>
      <w:rFonts w:ascii="Calibri Light" w:eastAsia="Times New Roman" w:hAnsi="Calibri Light" w:cs="Times New Roman"/>
      <w:sz w:val="22"/>
      <w:szCs w:val="22"/>
    </w:rPr>
  </w:style>
  <w:style w:type="character" w:customStyle="1" w:styleId="af">
    <w:name w:val="Основной текст_"/>
    <w:link w:val="10"/>
    <w:rsid w:val="009A2A55"/>
    <w:rPr>
      <w:spacing w:val="20"/>
      <w:sz w:val="18"/>
      <w:szCs w:val="18"/>
      <w:shd w:val="clear" w:color="auto" w:fill="FFFFFF"/>
    </w:rPr>
  </w:style>
  <w:style w:type="paragraph" w:customStyle="1" w:styleId="10">
    <w:name w:val="Основной текст1"/>
    <w:basedOn w:val="a"/>
    <w:link w:val="af"/>
    <w:rsid w:val="009A2A55"/>
    <w:pPr>
      <w:widowControl w:val="0"/>
      <w:shd w:val="clear" w:color="auto" w:fill="FFFFFF"/>
      <w:spacing w:line="250" w:lineRule="exact"/>
      <w:ind w:hanging="360"/>
      <w:jc w:val="both"/>
    </w:pPr>
    <w:rPr>
      <w:spacing w:val="20"/>
      <w:sz w:val="18"/>
      <w:szCs w:val="18"/>
    </w:rPr>
  </w:style>
  <w:style w:type="character" w:customStyle="1" w:styleId="30">
    <w:name w:val="Основной текст с отступом 3 Знак"/>
    <w:link w:val="3"/>
    <w:rsid w:val="00E7628F"/>
    <w:rPr>
      <w:sz w:val="22"/>
      <w:lang w:val="uk-UA"/>
    </w:rPr>
  </w:style>
  <w:style w:type="paragraph" w:customStyle="1" w:styleId="Pa74">
    <w:name w:val="Pa74"/>
    <w:basedOn w:val="a"/>
    <w:next w:val="a"/>
    <w:uiPriority w:val="99"/>
    <w:rsid w:val="007324F3"/>
    <w:pPr>
      <w:autoSpaceDE w:val="0"/>
      <w:autoSpaceDN w:val="0"/>
      <w:adjustRightInd w:val="0"/>
      <w:spacing w:line="141" w:lineRule="atLeast"/>
    </w:pPr>
    <w:rPr>
      <w:rFonts w:ascii="DINOT-Light" w:hAnsi="DINOT-Light"/>
      <w:sz w:val="24"/>
      <w:szCs w:val="24"/>
    </w:rPr>
  </w:style>
  <w:style w:type="character" w:customStyle="1" w:styleId="22">
    <w:name w:val="Основной текст (2)"/>
    <w:rsid w:val="007B403F"/>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822177">
      <w:bodyDiv w:val="1"/>
      <w:marLeft w:val="0"/>
      <w:marRight w:val="0"/>
      <w:marTop w:val="0"/>
      <w:marBottom w:val="0"/>
      <w:divBdr>
        <w:top w:val="none" w:sz="0" w:space="0" w:color="auto"/>
        <w:left w:val="none" w:sz="0" w:space="0" w:color="auto"/>
        <w:bottom w:val="none" w:sz="0" w:space="0" w:color="auto"/>
        <w:right w:val="none" w:sz="0" w:space="0" w:color="auto"/>
      </w:divBdr>
    </w:div>
    <w:div w:id="256135935">
      <w:bodyDiv w:val="1"/>
      <w:marLeft w:val="0"/>
      <w:marRight w:val="0"/>
      <w:marTop w:val="0"/>
      <w:marBottom w:val="0"/>
      <w:divBdr>
        <w:top w:val="none" w:sz="0" w:space="0" w:color="auto"/>
        <w:left w:val="none" w:sz="0" w:space="0" w:color="auto"/>
        <w:bottom w:val="none" w:sz="0" w:space="0" w:color="auto"/>
        <w:right w:val="none" w:sz="0" w:space="0" w:color="auto"/>
      </w:divBdr>
    </w:div>
    <w:div w:id="401217964">
      <w:bodyDiv w:val="1"/>
      <w:marLeft w:val="0"/>
      <w:marRight w:val="0"/>
      <w:marTop w:val="0"/>
      <w:marBottom w:val="0"/>
      <w:divBdr>
        <w:top w:val="none" w:sz="0" w:space="0" w:color="auto"/>
        <w:left w:val="none" w:sz="0" w:space="0" w:color="auto"/>
        <w:bottom w:val="none" w:sz="0" w:space="0" w:color="auto"/>
        <w:right w:val="none" w:sz="0" w:space="0" w:color="auto"/>
      </w:divBdr>
    </w:div>
    <w:div w:id="409619470">
      <w:bodyDiv w:val="1"/>
      <w:marLeft w:val="0"/>
      <w:marRight w:val="0"/>
      <w:marTop w:val="0"/>
      <w:marBottom w:val="0"/>
      <w:divBdr>
        <w:top w:val="none" w:sz="0" w:space="0" w:color="auto"/>
        <w:left w:val="none" w:sz="0" w:space="0" w:color="auto"/>
        <w:bottom w:val="none" w:sz="0" w:space="0" w:color="auto"/>
        <w:right w:val="none" w:sz="0" w:space="0" w:color="auto"/>
      </w:divBdr>
    </w:div>
    <w:div w:id="446000581">
      <w:bodyDiv w:val="1"/>
      <w:marLeft w:val="0"/>
      <w:marRight w:val="0"/>
      <w:marTop w:val="0"/>
      <w:marBottom w:val="0"/>
      <w:divBdr>
        <w:top w:val="none" w:sz="0" w:space="0" w:color="auto"/>
        <w:left w:val="none" w:sz="0" w:space="0" w:color="auto"/>
        <w:bottom w:val="none" w:sz="0" w:space="0" w:color="auto"/>
        <w:right w:val="none" w:sz="0" w:space="0" w:color="auto"/>
      </w:divBdr>
    </w:div>
    <w:div w:id="1118527136">
      <w:bodyDiv w:val="1"/>
      <w:marLeft w:val="0"/>
      <w:marRight w:val="0"/>
      <w:marTop w:val="0"/>
      <w:marBottom w:val="0"/>
      <w:divBdr>
        <w:top w:val="none" w:sz="0" w:space="0" w:color="auto"/>
        <w:left w:val="none" w:sz="0" w:space="0" w:color="auto"/>
        <w:bottom w:val="none" w:sz="0" w:space="0" w:color="auto"/>
        <w:right w:val="none" w:sz="0" w:space="0" w:color="auto"/>
      </w:divBdr>
    </w:div>
    <w:div w:id="1145973396">
      <w:bodyDiv w:val="1"/>
      <w:marLeft w:val="0"/>
      <w:marRight w:val="0"/>
      <w:marTop w:val="0"/>
      <w:marBottom w:val="0"/>
      <w:divBdr>
        <w:top w:val="none" w:sz="0" w:space="0" w:color="auto"/>
        <w:left w:val="none" w:sz="0" w:space="0" w:color="auto"/>
        <w:bottom w:val="none" w:sz="0" w:space="0" w:color="auto"/>
        <w:right w:val="none" w:sz="0" w:space="0" w:color="auto"/>
      </w:divBdr>
    </w:div>
    <w:div w:id="1170635869">
      <w:bodyDiv w:val="1"/>
      <w:marLeft w:val="0"/>
      <w:marRight w:val="0"/>
      <w:marTop w:val="0"/>
      <w:marBottom w:val="0"/>
      <w:divBdr>
        <w:top w:val="none" w:sz="0" w:space="0" w:color="auto"/>
        <w:left w:val="none" w:sz="0" w:space="0" w:color="auto"/>
        <w:bottom w:val="none" w:sz="0" w:space="0" w:color="auto"/>
        <w:right w:val="none" w:sz="0" w:space="0" w:color="auto"/>
      </w:divBdr>
    </w:div>
    <w:div w:id="1325158275">
      <w:bodyDiv w:val="1"/>
      <w:marLeft w:val="0"/>
      <w:marRight w:val="0"/>
      <w:marTop w:val="0"/>
      <w:marBottom w:val="0"/>
      <w:divBdr>
        <w:top w:val="none" w:sz="0" w:space="0" w:color="auto"/>
        <w:left w:val="none" w:sz="0" w:space="0" w:color="auto"/>
        <w:bottom w:val="none" w:sz="0" w:space="0" w:color="auto"/>
        <w:right w:val="none" w:sz="0" w:space="0" w:color="auto"/>
      </w:divBdr>
    </w:div>
    <w:div w:id="1487092722">
      <w:bodyDiv w:val="1"/>
      <w:marLeft w:val="0"/>
      <w:marRight w:val="0"/>
      <w:marTop w:val="0"/>
      <w:marBottom w:val="0"/>
      <w:divBdr>
        <w:top w:val="none" w:sz="0" w:space="0" w:color="auto"/>
        <w:left w:val="none" w:sz="0" w:space="0" w:color="auto"/>
        <w:bottom w:val="none" w:sz="0" w:space="0" w:color="auto"/>
        <w:right w:val="none" w:sz="0" w:space="0" w:color="auto"/>
      </w:divBdr>
    </w:div>
    <w:div w:id="1880892307">
      <w:bodyDiv w:val="1"/>
      <w:marLeft w:val="0"/>
      <w:marRight w:val="0"/>
      <w:marTop w:val="0"/>
      <w:marBottom w:val="0"/>
      <w:divBdr>
        <w:top w:val="none" w:sz="0" w:space="0" w:color="auto"/>
        <w:left w:val="none" w:sz="0" w:space="0" w:color="auto"/>
        <w:bottom w:val="none" w:sz="0" w:space="0" w:color="auto"/>
        <w:right w:val="none" w:sz="0" w:space="0" w:color="auto"/>
      </w:divBdr>
    </w:div>
    <w:div w:id="2025670758">
      <w:bodyDiv w:val="1"/>
      <w:marLeft w:val="0"/>
      <w:marRight w:val="0"/>
      <w:marTop w:val="0"/>
      <w:marBottom w:val="0"/>
      <w:divBdr>
        <w:top w:val="none" w:sz="0" w:space="0" w:color="auto"/>
        <w:left w:val="none" w:sz="0" w:space="0" w:color="auto"/>
        <w:bottom w:val="none" w:sz="0" w:space="0" w:color="auto"/>
        <w:right w:val="none" w:sz="0" w:space="0" w:color="auto"/>
      </w:divBdr>
      <w:divsChild>
        <w:div w:id="63570567">
          <w:marLeft w:val="0"/>
          <w:marRight w:val="0"/>
          <w:marTop w:val="0"/>
          <w:marBottom w:val="0"/>
          <w:divBdr>
            <w:top w:val="none" w:sz="0" w:space="0" w:color="auto"/>
            <w:left w:val="none" w:sz="0" w:space="0" w:color="auto"/>
            <w:bottom w:val="none" w:sz="0" w:space="0" w:color="auto"/>
            <w:right w:val="none" w:sz="0" w:space="0" w:color="auto"/>
          </w:divBdr>
        </w:div>
        <w:div w:id="1885557843">
          <w:marLeft w:val="0"/>
          <w:marRight w:val="0"/>
          <w:marTop w:val="0"/>
          <w:marBottom w:val="0"/>
          <w:divBdr>
            <w:top w:val="none" w:sz="0" w:space="0" w:color="auto"/>
            <w:left w:val="none" w:sz="0" w:space="0" w:color="auto"/>
            <w:bottom w:val="none" w:sz="0" w:space="0" w:color="auto"/>
            <w:right w:val="none" w:sz="0" w:space="0" w:color="auto"/>
          </w:divBdr>
        </w:div>
        <w:div w:id="1269510990">
          <w:marLeft w:val="0"/>
          <w:marRight w:val="0"/>
          <w:marTop w:val="0"/>
          <w:marBottom w:val="0"/>
          <w:divBdr>
            <w:top w:val="none" w:sz="0" w:space="0" w:color="auto"/>
            <w:left w:val="none" w:sz="0" w:space="0" w:color="auto"/>
            <w:bottom w:val="none" w:sz="0" w:space="0" w:color="auto"/>
            <w:right w:val="none" w:sz="0" w:space="0" w:color="auto"/>
          </w:divBdr>
        </w:div>
        <w:div w:id="2018997660">
          <w:marLeft w:val="0"/>
          <w:marRight w:val="0"/>
          <w:marTop w:val="0"/>
          <w:marBottom w:val="0"/>
          <w:divBdr>
            <w:top w:val="none" w:sz="0" w:space="0" w:color="auto"/>
            <w:left w:val="none" w:sz="0" w:space="0" w:color="auto"/>
            <w:bottom w:val="none" w:sz="0" w:space="0" w:color="auto"/>
            <w:right w:val="none" w:sz="0" w:space="0" w:color="auto"/>
          </w:divBdr>
        </w:div>
        <w:div w:id="19873194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fs.gov.ua/"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DA12DEFA-49A5-4327-87E7-AC6FCBC78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3454</Words>
  <Characters>19689</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Аудиторская фирма «АМК-Сервис» в форме частного предприятия,</vt:lpstr>
    </vt:vector>
  </TitlesOfParts>
  <Company>2</Company>
  <LinksUpToDate>false</LinksUpToDate>
  <CharactersWithSpaces>23097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Аудиторская фирма «АМК-Сервис» в форме частного предприятия,</dc:title>
  <dc:creator>1</dc:creator>
  <cp:lastModifiedBy>Rita</cp:lastModifiedBy>
  <cp:revision>3</cp:revision>
  <cp:lastPrinted>2017-04-27T09:13:00Z</cp:lastPrinted>
  <dcterms:created xsi:type="dcterms:W3CDTF">2018-04-23T08:11:00Z</dcterms:created>
  <dcterms:modified xsi:type="dcterms:W3CDTF">2018-04-23T08:12:00Z</dcterms:modified>
</cp:coreProperties>
</file>